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ACE5B" w14:textId="77777777" w:rsidR="00230ACA" w:rsidRDefault="00230ACA">
      <w:pPr>
        <w:pStyle w:val="Heading11"/>
      </w:pPr>
      <w:r>
        <w:t>PPGP CMS QUESTIONS</w:t>
      </w:r>
    </w:p>
    <w:p w14:paraId="008B2F63" w14:textId="77777777" w:rsidR="00230ACA" w:rsidRPr="00577A9B" w:rsidRDefault="00230ACA" w:rsidP="00CF2C46">
      <w:pPr>
        <w:pStyle w:val="ListNumber"/>
      </w:pPr>
      <w:r w:rsidRPr="00577A9B">
        <w:t>Please provide a list, including value, of in-kind M&amp;O contributions negotiated during the previous CG period.</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500"/>
        <w:gridCol w:w="774"/>
        <w:gridCol w:w="818"/>
        <w:gridCol w:w="774"/>
        <w:gridCol w:w="774"/>
      </w:tblGrid>
      <w:tr w:rsidR="00C3773E" w:rsidRPr="00D46D62" w14:paraId="354F2CEB" w14:textId="77777777" w:rsidTr="00647C06">
        <w:trPr>
          <w:trHeight w:hRule="exact" w:val="360"/>
          <w:jc w:val="center"/>
        </w:trPr>
        <w:tc>
          <w:tcPr>
            <w:tcW w:w="1324" w:type="dxa"/>
            <w:shd w:val="clear" w:color="auto" w:fill="auto"/>
          </w:tcPr>
          <w:p w14:paraId="76A59086" w14:textId="77777777" w:rsidR="00C3773E" w:rsidRPr="00D46D62" w:rsidRDefault="00C3773E" w:rsidP="00D46D62">
            <w:pPr>
              <w:pStyle w:val="ListParagraph"/>
              <w:spacing w:line="360" w:lineRule="auto"/>
              <w:ind w:left="0"/>
              <w:rPr>
                <w:b/>
              </w:rPr>
            </w:pPr>
            <w:r w:rsidRPr="00D46D62">
              <w:rPr>
                <w:b/>
              </w:rPr>
              <w:t>M&amp;O B</w:t>
            </w:r>
          </w:p>
        </w:tc>
        <w:tc>
          <w:tcPr>
            <w:tcW w:w="1500" w:type="dxa"/>
            <w:shd w:val="clear" w:color="auto" w:fill="auto"/>
          </w:tcPr>
          <w:p w14:paraId="48A66149" w14:textId="77777777" w:rsidR="00C3773E" w:rsidRPr="00D46D62" w:rsidRDefault="008C26F1" w:rsidP="00D46D62">
            <w:pPr>
              <w:pStyle w:val="ListParagraph"/>
              <w:spacing w:line="360" w:lineRule="auto"/>
              <w:ind w:left="0"/>
              <w:rPr>
                <w:b/>
              </w:rPr>
            </w:pPr>
            <w:r w:rsidRPr="00D46D62">
              <w:rPr>
                <w:b/>
              </w:rPr>
              <w:t>[</w:t>
            </w:r>
            <w:proofErr w:type="spellStart"/>
            <w:r w:rsidRPr="00D46D62">
              <w:rPr>
                <w:b/>
              </w:rPr>
              <w:t>kCHF</w:t>
            </w:r>
            <w:proofErr w:type="spellEnd"/>
            <w:r w:rsidRPr="00D46D62">
              <w:rPr>
                <w:b/>
              </w:rPr>
              <w:t>]</w:t>
            </w:r>
          </w:p>
        </w:tc>
        <w:tc>
          <w:tcPr>
            <w:tcW w:w="774" w:type="dxa"/>
            <w:shd w:val="clear" w:color="auto" w:fill="auto"/>
          </w:tcPr>
          <w:p w14:paraId="31EF1599" w14:textId="77777777" w:rsidR="00C3773E" w:rsidRPr="00D46D62" w:rsidRDefault="00C3773E" w:rsidP="00D46D62">
            <w:pPr>
              <w:pStyle w:val="ListParagraph"/>
              <w:spacing w:line="360" w:lineRule="auto"/>
              <w:ind w:left="0"/>
              <w:rPr>
                <w:b/>
              </w:rPr>
            </w:pPr>
            <w:r w:rsidRPr="00D46D62">
              <w:rPr>
                <w:b/>
              </w:rPr>
              <w:t>2012</w:t>
            </w:r>
          </w:p>
        </w:tc>
        <w:tc>
          <w:tcPr>
            <w:tcW w:w="818" w:type="dxa"/>
            <w:shd w:val="clear" w:color="auto" w:fill="auto"/>
          </w:tcPr>
          <w:p w14:paraId="3C1C4D86" w14:textId="77777777" w:rsidR="00C3773E" w:rsidRPr="00D46D62" w:rsidRDefault="00C3773E" w:rsidP="00D46D62">
            <w:pPr>
              <w:pStyle w:val="ListParagraph"/>
              <w:spacing w:line="360" w:lineRule="auto"/>
              <w:ind w:left="0"/>
              <w:rPr>
                <w:b/>
              </w:rPr>
            </w:pPr>
            <w:r w:rsidRPr="00D46D62">
              <w:rPr>
                <w:b/>
              </w:rPr>
              <w:t>2013</w:t>
            </w:r>
          </w:p>
        </w:tc>
        <w:tc>
          <w:tcPr>
            <w:tcW w:w="774" w:type="dxa"/>
            <w:shd w:val="clear" w:color="auto" w:fill="auto"/>
          </w:tcPr>
          <w:p w14:paraId="24D6D756" w14:textId="77777777" w:rsidR="00C3773E" w:rsidRPr="00D46D62" w:rsidRDefault="00C3773E" w:rsidP="00D46D62">
            <w:pPr>
              <w:pStyle w:val="ListParagraph"/>
              <w:spacing w:line="360" w:lineRule="auto"/>
              <w:ind w:left="0"/>
              <w:rPr>
                <w:b/>
              </w:rPr>
            </w:pPr>
            <w:r w:rsidRPr="00D46D62">
              <w:rPr>
                <w:b/>
              </w:rPr>
              <w:t>2014</w:t>
            </w:r>
          </w:p>
        </w:tc>
        <w:tc>
          <w:tcPr>
            <w:tcW w:w="774" w:type="dxa"/>
            <w:shd w:val="clear" w:color="auto" w:fill="auto"/>
          </w:tcPr>
          <w:p w14:paraId="610FC6EC" w14:textId="77777777" w:rsidR="00C3773E" w:rsidRPr="00D46D62" w:rsidRDefault="00C3773E" w:rsidP="00D46D62">
            <w:pPr>
              <w:pStyle w:val="ListParagraph"/>
              <w:spacing w:line="360" w:lineRule="auto"/>
              <w:ind w:left="0"/>
              <w:rPr>
                <w:b/>
              </w:rPr>
            </w:pPr>
            <w:r w:rsidRPr="00D46D62">
              <w:rPr>
                <w:b/>
              </w:rPr>
              <w:t>2015</w:t>
            </w:r>
          </w:p>
        </w:tc>
      </w:tr>
      <w:tr w:rsidR="00C3773E" w14:paraId="3686D201" w14:textId="77777777" w:rsidTr="00647C06">
        <w:trPr>
          <w:trHeight w:hRule="exact" w:val="300"/>
          <w:jc w:val="center"/>
        </w:trPr>
        <w:tc>
          <w:tcPr>
            <w:tcW w:w="1324" w:type="dxa"/>
            <w:vMerge w:val="restart"/>
            <w:shd w:val="clear" w:color="auto" w:fill="auto"/>
          </w:tcPr>
          <w:p w14:paraId="397AFD67" w14:textId="77777777" w:rsidR="00C3773E" w:rsidRDefault="00C3773E" w:rsidP="00D46D62">
            <w:pPr>
              <w:pStyle w:val="ListParagraph"/>
              <w:spacing w:line="360" w:lineRule="auto"/>
              <w:ind w:left="0"/>
            </w:pPr>
            <w:r>
              <w:t xml:space="preserve">In-kind </w:t>
            </w:r>
          </w:p>
        </w:tc>
        <w:tc>
          <w:tcPr>
            <w:tcW w:w="1500" w:type="dxa"/>
            <w:shd w:val="clear" w:color="auto" w:fill="auto"/>
          </w:tcPr>
          <w:p w14:paraId="3E581D94" w14:textId="77777777" w:rsidR="00C3773E" w:rsidRDefault="00C3773E" w:rsidP="00D46D62">
            <w:pPr>
              <w:pStyle w:val="ListParagraph"/>
              <w:spacing w:line="360" w:lineRule="auto"/>
              <w:ind w:left="0"/>
            </w:pPr>
            <w:r>
              <w:t>Tracker</w:t>
            </w:r>
          </w:p>
        </w:tc>
        <w:tc>
          <w:tcPr>
            <w:tcW w:w="774" w:type="dxa"/>
            <w:shd w:val="clear" w:color="auto" w:fill="auto"/>
          </w:tcPr>
          <w:p w14:paraId="55738357" w14:textId="77777777" w:rsidR="00C3773E" w:rsidRDefault="00C3773E" w:rsidP="00D46D62">
            <w:pPr>
              <w:pStyle w:val="ListParagraph"/>
              <w:spacing w:line="360" w:lineRule="auto"/>
              <w:ind w:left="0"/>
            </w:pPr>
            <w:r>
              <w:t>4</w:t>
            </w:r>
            <w:r w:rsidR="00E20E29">
              <w:t>4.6</w:t>
            </w:r>
            <w:r>
              <w:t xml:space="preserve"> </w:t>
            </w:r>
          </w:p>
        </w:tc>
        <w:tc>
          <w:tcPr>
            <w:tcW w:w="818" w:type="dxa"/>
            <w:shd w:val="clear" w:color="auto" w:fill="auto"/>
          </w:tcPr>
          <w:p w14:paraId="4B8292DF" w14:textId="77777777" w:rsidR="00C3773E" w:rsidRDefault="00C3773E" w:rsidP="00D46D62">
            <w:pPr>
              <w:pStyle w:val="ListParagraph"/>
              <w:spacing w:line="360" w:lineRule="auto"/>
              <w:ind w:left="0"/>
            </w:pPr>
            <w:r>
              <w:t>45</w:t>
            </w:r>
            <w:r w:rsidR="00F71F64">
              <w:t>.0</w:t>
            </w:r>
            <w:r>
              <w:t xml:space="preserve"> </w:t>
            </w:r>
          </w:p>
        </w:tc>
        <w:tc>
          <w:tcPr>
            <w:tcW w:w="774" w:type="dxa"/>
            <w:shd w:val="clear" w:color="auto" w:fill="auto"/>
          </w:tcPr>
          <w:p w14:paraId="6B494EEC" w14:textId="77777777" w:rsidR="00C3773E" w:rsidRDefault="00C3773E" w:rsidP="00D46D62">
            <w:pPr>
              <w:pStyle w:val="ListParagraph"/>
              <w:spacing w:line="360" w:lineRule="auto"/>
              <w:ind w:left="0"/>
            </w:pPr>
            <w:r>
              <w:t>45</w:t>
            </w:r>
            <w:r w:rsidR="00F71F64">
              <w:t>.0</w:t>
            </w:r>
            <w:r>
              <w:t xml:space="preserve"> </w:t>
            </w:r>
          </w:p>
        </w:tc>
        <w:tc>
          <w:tcPr>
            <w:tcW w:w="774" w:type="dxa"/>
            <w:shd w:val="clear" w:color="auto" w:fill="auto"/>
          </w:tcPr>
          <w:p w14:paraId="7665B2BC" w14:textId="77777777" w:rsidR="00C3773E" w:rsidRDefault="00C3773E" w:rsidP="00D46D62">
            <w:pPr>
              <w:pStyle w:val="ListParagraph"/>
              <w:spacing w:line="360" w:lineRule="auto"/>
              <w:ind w:left="0"/>
            </w:pPr>
            <w:r>
              <w:t>25</w:t>
            </w:r>
            <w:r w:rsidR="00F71F64">
              <w:t>.0</w:t>
            </w:r>
          </w:p>
        </w:tc>
      </w:tr>
      <w:tr w:rsidR="00C3773E" w14:paraId="1FDB2D6A" w14:textId="77777777" w:rsidTr="00647C06">
        <w:trPr>
          <w:trHeight w:hRule="exact" w:val="300"/>
          <w:jc w:val="center"/>
        </w:trPr>
        <w:tc>
          <w:tcPr>
            <w:tcW w:w="1324" w:type="dxa"/>
            <w:vMerge/>
            <w:shd w:val="clear" w:color="auto" w:fill="auto"/>
          </w:tcPr>
          <w:p w14:paraId="6D334601" w14:textId="77777777" w:rsidR="00C3773E" w:rsidRDefault="00C3773E" w:rsidP="00D46D62">
            <w:pPr>
              <w:pStyle w:val="ListParagraph"/>
              <w:spacing w:line="360" w:lineRule="auto"/>
              <w:ind w:left="0"/>
            </w:pPr>
          </w:p>
        </w:tc>
        <w:tc>
          <w:tcPr>
            <w:tcW w:w="1500" w:type="dxa"/>
            <w:shd w:val="clear" w:color="auto" w:fill="auto"/>
          </w:tcPr>
          <w:p w14:paraId="631185CE" w14:textId="77777777" w:rsidR="00C3773E" w:rsidRDefault="00C3773E" w:rsidP="00D46D62">
            <w:pPr>
              <w:pStyle w:val="ListParagraph"/>
              <w:spacing w:line="360" w:lineRule="auto"/>
              <w:ind w:left="0"/>
            </w:pPr>
            <w:r>
              <w:t>Trigger</w:t>
            </w:r>
          </w:p>
        </w:tc>
        <w:tc>
          <w:tcPr>
            <w:tcW w:w="774" w:type="dxa"/>
            <w:shd w:val="clear" w:color="auto" w:fill="auto"/>
          </w:tcPr>
          <w:p w14:paraId="324709FA" w14:textId="77777777" w:rsidR="00C3773E" w:rsidRDefault="00E20E29" w:rsidP="00D46D62">
            <w:pPr>
              <w:pStyle w:val="ListParagraph"/>
              <w:spacing w:line="360" w:lineRule="auto"/>
              <w:ind w:left="0"/>
            </w:pPr>
            <w:r>
              <w:t>24.0</w:t>
            </w:r>
            <w:r w:rsidR="00C3773E">
              <w:t xml:space="preserve"> </w:t>
            </w:r>
          </w:p>
        </w:tc>
        <w:tc>
          <w:tcPr>
            <w:tcW w:w="818" w:type="dxa"/>
            <w:shd w:val="clear" w:color="auto" w:fill="auto"/>
          </w:tcPr>
          <w:p w14:paraId="6A568300" w14:textId="77777777" w:rsidR="00C3773E" w:rsidRDefault="00C3773E" w:rsidP="00D46D62">
            <w:pPr>
              <w:pStyle w:val="ListParagraph"/>
              <w:spacing w:line="360" w:lineRule="auto"/>
              <w:ind w:left="0"/>
            </w:pPr>
            <w:r>
              <w:t>14.</w:t>
            </w:r>
            <w:r w:rsidR="00E20E29">
              <w:t>0</w:t>
            </w:r>
            <w:r>
              <w:t xml:space="preserve"> </w:t>
            </w:r>
          </w:p>
        </w:tc>
        <w:tc>
          <w:tcPr>
            <w:tcW w:w="774" w:type="dxa"/>
            <w:shd w:val="clear" w:color="auto" w:fill="auto"/>
          </w:tcPr>
          <w:p w14:paraId="13EC8646" w14:textId="77777777" w:rsidR="00C3773E" w:rsidRDefault="00E20E29" w:rsidP="00D46D62">
            <w:pPr>
              <w:pStyle w:val="ListParagraph"/>
              <w:spacing w:line="360" w:lineRule="auto"/>
              <w:ind w:left="0"/>
            </w:pPr>
            <w:r>
              <w:t>14.9</w:t>
            </w:r>
            <w:r w:rsidR="00C3773E">
              <w:t xml:space="preserve"> </w:t>
            </w:r>
          </w:p>
        </w:tc>
        <w:tc>
          <w:tcPr>
            <w:tcW w:w="774" w:type="dxa"/>
            <w:shd w:val="clear" w:color="auto" w:fill="auto"/>
          </w:tcPr>
          <w:p w14:paraId="73E7D4CA" w14:textId="77777777" w:rsidR="00C3773E" w:rsidRDefault="00C3773E" w:rsidP="00D46D62">
            <w:pPr>
              <w:pStyle w:val="ListParagraph"/>
              <w:spacing w:line="360" w:lineRule="auto"/>
              <w:ind w:left="0"/>
            </w:pPr>
            <w:r>
              <w:t>1</w:t>
            </w:r>
            <w:r w:rsidR="00E20E29">
              <w:t>5.0</w:t>
            </w:r>
            <w:r>
              <w:t xml:space="preserve"> </w:t>
            </w:r>
          </w:p>
        </w:tc>
      </w:tr>
      <w:tr w:rsidR="00C3773E" w14:paraId="2FB145C8" w14:textId="77777777" w:rsidTr="00647C06">
        <w:trPr>
          <w:trHeight w:hRule="exact" w:val="300"/>
          <w:jc w:val="center"/>
        </w:trPr>
        <w:tc>
          <w:tcPr>
            <w:tcW w:w="1324" w:type="dxa"/>
            <w:vMerge/>
            <w:shd w:val="clear" w:color="auto" w:fill="auto"/>
          </w:tcPr>
          <w:p w14:paraId="366A01DE" w14:textId="77777777" w:rsidR="00C3773E" w:rsidRDefault="00C3773E" w:rsidP="00D46D62">
            <w:pPr>
              <w:pStyle w:val="ListParagraph"/>
              <w:spacing w:line="360" w:lineRule="auto"/>
              <w:ind w:left="0"/>
            </w:pPr>
          </w:p>
        </w:tc>
        <w:tc>
          <w:tcPr>
            <w:tcW w:w="1500" w:type="dxa"/>
            <w:shd w:val="clear" w:color="auto" w:fill="auto"/>
          </w:tcPr>
          <w:p w14:paraId="1BD66AA2" w14:textId="77777777" w:rsidR="00C3773E" w:rsidRDefault="00C3773E" w:rsidP="00D46D62">
            <w:pPr>
              <w:pStyle w:val="ListParagraph"/>
              <w:spacing w:line="360" w:lineRule="auto"/>
              <w:ind w:left="0"/>
            </w:pPr>
            <w:r>
              <w:t>ECAL</w:t>
            </w:r>
          </w:p>
        </w:tc>
        <w:tc>
          <w:tcPr>
            <w:tcW w:w="774" w:type="dxa"/>
            <w:shd w:val="clear" w:color="auto" w:fill="auto"/>
          </w:tcPr>
          <w:p w14:paraId="0BC5792F" w14:textId="1F4D7D5B" w:rsidR="00C3773E" w:rsidRDefault="00BA78E3" w:rsidP="00D46D62">
            <w:pPr>
              <w:pStyle w:val="ListParagraph"/>
              <w:spacing w:line="360" w:lineRule="auto"/>
              <w:ind w:left="0"/>
            </w:pPr>
            <w:r>
              <w:t>21.8</w:t>
            </w:r>
          </w:p>
        </w:tc>
        <w:tc>
          <w:tcPr>
            <w:tcW w:w="818" w:type="dxa"/>
            <w:shd w:val="clear" w:color="auto" w:fill="auto"/>
          </w:tcPr>
          <w:p w14:paraId="31C6B99F" w14:textId="4DDF050C" w:rsidR="00C3773E" w:rsidRDefault="00BA78E3" w:rsidP="00D46D62">
            <w:pPr>
              <w:pStyle w:val="ListParagraph"/>
              <w:spacing w:line="360" w:lineRule="auto"/>
              <w:ind w:left="0"/>
            </w:pPr>
            <w:r>
              <w:t>59.6</w:t>
            </w:r>
          </w:p>
        </w:tc>
        <w:tc>
          <w:tcPr>
            <w:tcW w:w="774" w:type="dxa"/>
            <w:shd w:val="clear" w:color="auto" w:fill="auto"/>
          </w:tcPr>
          <w:p w14:paraId="2FCBCF6C" w14:textId="50C8757D" w:rsidR="00C3773E" w:rsidRDefault="005400A1" w:rsidP="00D46D62">
            <w:pPr>
              <w:pStyle w:val="ListParagraph"/>
              <w:spacing w:line="360" w:lineRule="auto"/>
              <w:ind w:left="0"/>
            </w:pPr>
            <w:r>
              <w:t>33.5</w:t>
            </w:r>
          </w:p>
        </w:tc>
        <w:tc>
          <w:tcPr>
            <w:tcW w:w="774" w:type="dxa"/>
            <w:shd w:val="clear" w:color="auto" w:fill="auto"/>
          </w:tcPr>
          <w:p w14:paraId="38E120BA" w14:textId="7F5956B1" w:rsidR="00C3773E" w:rsidRDefault="00BA78E3" w:rsidP="00D46D62">
            <w:pPr>
              <w:pStyle w:val="ListParagraph"/>
              <w:spacing w:line="360" w:lineRule="auto"/>
              <w:ind w:left="0"/>
            </w:pPr>
            <w:r>
              <w:t>0</w:t>
            </w:r>
          </w:p>
        </w:tc>
      </w:tr>
      <w:tr w:rsidR="00767801" w14:paraId="1D5CE5F7" w14:textId="77777777" w:rsidTr="00647C06">
        <w:trPr>
          <w:trHeight w:hRule="exact" w:val="300"/>
          <w:jc w:val="center"/>
        </w:trPr>
        <w:tc>
          <w:tcPr>
            <w:tcW w:w="5964" w:type="dxa"/>
            <w:gridSpan w:val="6"/>
            <w:shd w:val="clear" w:color="auto" w:fill="auto"/>
          </w:tcPr>
          <w:p w14:paraId="3ECEC4B3" w14:textId="77777777" w:rsidR="00767801" w:rsidRDefault="00767801" w:rsidP="00D46D62">
            <w:pPr>
              <w:pStyle w:val="ListParagraph"/>
              <w:spacing w:line="360" w:lineRule="auto"/>
              <w:ind w:left="0"/>
            </w:pPr>
          </w:p>
        </w:tc>
      </w:tr>
      <w:tr w:rsidR="00C3773E" w14:paraId="4B0A8A4B" w14:textId="77777777" w:rsidTr="00647C06">
        <w:trPr>
          <w:trHeight w:hRule="exact" w:val="300"/>
          <w:jc w:val="center"/>
        </w:trPr>
        <w:tc>
          <w:tcPr>
            <w:tcW w:w="1324" w:type="dxa"/>
            <w:vMerge w:val="restart"/>
            <w:shd w:val="clear" w:color="auto" w:fill="auto"/>
          </w:tcPr>
          <w:p w14:paraId="0FEEED88" w14:textId="77777777" w:rsidR="00C3773E" w:rsidRDefault="00C3773E" w:rsidP="00D46D62">
            <w:pPr>
              <w:pStyle w:val="ListParagraph"/>
              <w:spacing w:line="240" w:lineRule="auto"/>
              <w:ind w:left="0"/>
            </w:pPr>
          </w:p>
          <w:p w14:paraId="5C1B21BE" w14:textId="77777777" w:rsidR="00C3773E" w:rsidRDefault="00C3773E" w:rsidP="00D46D62">
            <w:pPr>
              <w:pStyle w:val="ListParagraph"/>
              <w:spacing w:line="240" w:lineRule="auto"/>
              <w:ind w:left="0"/>
            </w:pPr>
            <w:r>
              <w:t>Cash</w:t>
            </w:r>
          </w:p>
        </w:tc>
        <w:tc>
          <w:tcPr>
            <w:tcW w:w="1500" w:type="dxa"/>
            <w:shd w:val="clear" w:color="auto" w:fill="auto"/>
          </w:tcPr>
          <w:p w14:paraId="17EA5DBA" w14:textId="77777777" w:rsidR="00C3773E" w:rsidRDefault="00C3773E" w:rsidP="00D46D62">
            <w:pPr>
              <w:pStyle w:val="ListParagraph"/>
              <w:spacing w:line="360" w:lineRule="auto"/>
              <w:ind w:left="0"/>
            </w:pPr>
            <w:r>
              <w:t>Tracker</w:t>
            </w:r>
          </w:p>
        </w:tc>
        <w:tc>
          <w:tcPr>
            <w:tcW w:w="774" w:type="dxa"/>
            <w:shd w:val="clear" w:color="auto" w:fill="auto"/>
          </w:tcPr>
          <w:p w14:paraId="151A6B09" w14:textId="77777777" w:rsidR="00C3773E" w:rsidRDefault="00C3773E" w:rsidP="00D46D62">
            <w:pPr>
              <w:pStyle w:val="ListParagraph"/>
              <w:spacing w:line="360" w:lineRule="auto"/>
              <w:ind w:left="0"/>
            </w:pPr>
            <w:r>
              <w:t xml:space="preserve">44.6 </w:t>
            </w:r>
          </w:p>
        </w:tc>
        <w:tc>
          <w:tcPr>
            <w:tcW w:w="818" w:type="dxa"/>
            <w:shd w:val="clear" w:color="auto" w:fill="auto"/>
          </w:tcPr>
          <w:p w14:paraId="3188F02B" w14:textId="77777777" w:rsidR="00C3773E" w:rsidRDefault="00C3773E" w:rsidP="00D46D62">
            <w:pPr>
              <w:pStyle w:val="ListParagraph"/>
              <w:spacing w:line="360" w:lineRule="auto"/>
              <w:ind w:left="0"/>
            </w:pPr>
            <w:r>
              <w:t xml:space="preserve">44. 6 </w:t>
            </w:r>
          </w:p>
        </w:tc>
        <w:tc>
          <w:tcPr>
            <w:tcW w:w="774" w:type="dxa"/>
            <w:shd w:val="clear" w:color="auto" w:fill="auto"/>
          </w:tcPr>
          <w:p w14:paraId="6D72686D" w14:textId="77777777" w:rsidR="00C3773E" w:rsidRDefault="00C3773E" w:rsidP="00D46D62">
            <w:pPr>
              <w:pStyle w:val="ListParagraph"/>
              <w:spacing w:line="360" w:lineRule="auto"/>
              <w:ind w:left="0"/>
            </w:pPr>
            <w:r>
              <w:t>50</w:t>
            </w:r>
            <w:r w:rsidR="00F71F64">
              <w:t>.0</w:t>
            </w:r>
            <w:r>
              <w:t xml:space="preserve"> </w:t>
            </w:r>
          </w:p>
        </w:tc>
        <w:tc>
          <w:tcPr>
            <w:tcW w:w="774" w:type="dxa"/>
            <w:shd w:val="clear" w:color="auto" w:fill="auto"/>
          </w:tcPr>
          <w:p w14:paraId="591D1063" w14:textId="77777777" w:rsidR="00C3773E" w:rsidRDefault="00C3773E" w:rsidP="00D46D62">
            <w:pPr>
              <w:pStyle w:val="ListParagraph"/>
              <w:spacing w:line="360" w:lineRule="auto"/>
              <w:ind w:left="0"/>
            </w:pPr>
            <w:r>
              <w:t xml:space="preserve">52.9 </w:t>
            </w:r>
          </w:p>
        </w:tc>
      </w:tr>
      <w:tr w:rsidR="00C3773E" w14:paraId="377383C7" w14:textId="77777777" w:rsidTr="00647C06">
        <w:trPr>
          <w:trHeight w:hRule="exact" w:val="300"/>
          <w:jc w:val="center"/>
        </w:trPr>
        <w:tc>
          <w:tcPr>
            <w:tcW w:w="1324" w:type="dxa"/>
            <w:vMerge/>
            <w:shd w:val="clear" w:color="auto" w:fill="auto"/>
          </w:tcPr>
          <w:p w14:paraId="6E684166" w14:textId="77777777" w:rsidR="00C3773E" w:rsidRDefault="00C3773E" w:rsidP="00D46D62">
            <w:pPr>
              <w:pStyle w:val="ListParagraph"/>
              <w:spacing w:line="240" w:lineRule="auto"/>
              <w:ind w:left="0"/>
            </w:pPr>
          </w:p>
        </w:tc>
        <w:tc>
          <w:tcPr>
            <w:tcW w:w="1500" w:type="dxa"/>
            <w:shd w:val="clear" w:color="auto" w:fill="auto"/>
          </w:tcPr>
          <w:p w14:paraId="30A1E44F" w14:textId="77777777" w:rsidR="00C3773E" w:rsidRDefault="00C3773E" w:rsidP="00D46D62">
            <w:pPr>
              <w:pStyle w:val="ListParagraph"/>
              <w:spacing w:line="360" w:lineRule="auto"/>
              <w:ind w:left="0"/>
            </w:pPr>
            <w:r>
              <w:t>Trigger</w:t>
            </w:r>
          </w:p>
        </w:tc>
        <w:tc>
          <w:tcPr>
            <w:tcW w:w="774" w:type="dxa"/>
            <w:shd w:val="clear" w:color="auto" w:fill="auto"/>
          </w:tcPr>
          <w:p w14:paraId="4DC08716" w14:textId="77777777" w:rsidR="00C3773E" w:rsidRDefault="00C3773E" w:rsidP="00D46D62">
            <w:pPr>
              <w:pStyle w:val="ListParagraph"/>
              <w:spacing w:line="360" w:lineRule="auto"/>
              <w:ind w:left="0"/>
            </w:pPr>
            <w:r>
              <w:t xml:space="preserve">37.8 </w:t>
            </w:r>
          </w:p>
        </w:tc>
        <w:tc>
          <w:tcPr>
            <w:tcW w:w="818" w:type="dxa"/>
            <w:shd w:val="clear" w:color="auto" w:fill="auto"/>
          </w:tcPr>
          <w:p w14:paraId="6E0B2F68" w14:textId="77777777" w:rsidR="00C3773E" w:rsidRDefault="00C3773E" w:rsidP="00D46D62">
            <w:pPr>
              <w:pStyle w:val="ListParagraph"/>
              <w:spacing w:line="360" w:lineRule="auto"/>
              <w:ind w:left="0"/>
            </w:pPr>
            <w:r>
              <w:t xml:space="preserve">37.8 </w:t>
            </w:r>
          </w:p>
        </w:tc>
        <w:tc>
          <w:tcPr>
            <w:tcW w:w="774" w:type="dxa"/>
            <w:shd w:val="clear" w:color="auto" w:fill="auto"/>
          </w:tcPr>
          <w:p w14:paraId="3E268F82" w14:textId="77777777" w:rsidR="00C3773E" w:rsidRDefault="00C3773E">
            <w:r w:rsidRPr="00F22565">
              <w:t xml:space="preserve">37.8 </w:t>
            </w:r>
          </w:p>
        </w:tc>
        <w:tc>
          <w:tcPr>
            <w:tcW w:w="774" w:type="dxa"/>
            <w:shd w:val="clear" w:color="auto" w:fill="auto"/>
          </w:tcPr>
          <w:p w14:paraId="685C4943" w14:textId="77777777" w:rsidR="00C3773E" w:rsidRDefault="00C3773E">
            <w:r w:rsidRPr="00F22565">
              <w:t xml:space="preserve">37.8 </w:t>
            </w:r>
          </w:p>
        </w:tc>
      </w:tr>
      <w:tr w:rsidR="00C3773E" w:rsidRPr="00BA78E3" w14:paraId="11530808" w14:textId="77777777" w:rsidTr="00647C06">
        <w:trPr>
          <w:trHeight w:hRule="exact" w:val="300"/>
          <w:jc w:val="center"/>
        </w:trPr>
        <w:tc>
          <w:tcPr>
            <w:tcW w:w="1324" w:type="dxa"/>
            <w:vMerge/>
            <w:shd w:val="clear" w:color="auto" w:fill="auto"/>
          </w:tcPr>
          <w:p w14:paraId="65934D78" w14:textId="77777777" w:rsidR="00C3773E" w:rsidRDefault="00C3773E" w:rsidP="00D46D62">
            <w:pPr>
              <w:pStyle w:val="ListParagraph"/>
              <w:spacing w:line="240" w:lineRule="auto"/>
              <w:ind w:left="0"/>
            </w:pPr>
          </w:p>
        </w:tc>
        <w:tc>
          <w:tcPr>
            <w:tcW w:w="1500" w:type="dxa"/>
            <w:shd w:val="clear" w:color="auto" w:fill="auto"/>
          </w:tcPr>
          <w:p w14:paraId="5F0FEF2D" w14:textId="7B70BE49" w:rsidR="00C3773E" w:rsidRDefault="00C3773E" w:rsidP="00BA78E3">
            <w:pPr>
              <w:pStyle w:val="ListParagraph"/>
              <w:spacing w:line="360" w:lineRule="auto"/>
              <w:ind w:left="0"/>
            </w:pPr>
            <w:r>
              <w:t>ECAL</w:t>
            </w:r>
            <w:r w:rsidR="008C26F1">
              <w:t xml:space="preserve"> </w:t>
            </w:r>
          </w:p>
        </w:tc>
        <w:tc>
          <w:tcPr>
            <w:tcW w:w="774" w:type="dxa"/>
            <w:shd w:val="clear" w:color="auto" w:fill="auto"/>
          </w:tcPr>
          <w:p w14:paraId="0157717C" w14:textId="6A73E6F9" w:rsidR="00C3773E" w:rsidRPr="00BA78E3" w:rsidRDefault="00BA78E3" w:rsidP="00D46D62">
            <w:pPr>
              <w:pStyle w:val="ListParagraph"/>
              <w:spacing w:line="360" w:lineRule="auto"/>
              <w:ind w:left="0"/>
              <w:rPr>
                <w:color w:val="auto"/>
              </w:rPr>
            </w:pPr>
            <w:r w:rsidRPr="00BA78E3">
              <w:rPr>
                <w:color w:val="auto"/>
              </w:rPr>
              <w:t>59.5</w:t>
            </w:r>
          </w:p>
        </w:tc>
        <w:tc>
          <w:tcPr>
            <w:tcW w:w="818" w:type="dxa"/>
            <w:shd w:val="clear" w:color="auto" w:fill="auto"/>
          </w:tcPr>
          <w:p w14:paraId="12A95740" w14:textId="2249AC07" w:rsidR="00C3773E" w:rsidRPr="00BA78E3" w:rsidRDefault="00BA78E3" w:rsidP="00D46D62">
            <w:pPr>
              <w:pStyle w:val="ListParagraph"/>
              <w:spacing w:line="360" w:lineRule="auto"/>
              <w:ind w:left="0"/>
              <w:rPr>
                <w:color w:val="auto"/>
              </w:rPr>
            </w:pPr>
            <w:r w:rsidRPr="00BA78E3">
              <w:rPr>
                <w:color w:val="auto"/>
              </w:rPr>
              <w:t>0</w:t>
            </w:r>
          </w:p>
        </w:tc>
        <w:tc>
          <w:tcPr>
            <w:tcW w:w="774" w:type="dxa"/>
            <w:shd w:val="clear" w:color="auto" w:fill="auto"/>
          </w:tcPr>
          <w:p w14:paraId="0584E462" w14:textId="35501BB9" w:rsidR="00C3773E" w:rsidRPr="00BA78E3" w:rsidRDefault="005400A1" w:rsidP="00D46D62">
            <w:pPr>
              <w:pStyle w:val="ListParagraph"/>
              <w:spacing w:line="360" w:lineRule="auto"/>
              <w:ind w:left="0"/>
              <w:rPr>
                <w:color w:val="auto"/>
              </w:rPr>
            </w:pPr>
            <w:r>
              <w:rPr>
                <w:color w:val="auto"/>
              </w:rPr>
              <w:t>13.4</w:t>
            </w:r>
          </w:p>
        </w:tc>
        <w:tc>
          <w:tcPr>
            <w:tcW w:w="774" w:type="dxa"/>
            <w:shd w:val="clear" w:color="auto" w:fill="auto"/>
          </w:tcPr>
          <w:p w14:paraId="563A3012" w14:textId="77777777" w:rsidR="00C3773E" w:rsidRPr="00BA78E3" w:rsidRDefault="008C26F1" w:rsidP="00D46D62">
            <w:pPr>
              <w:pStyle w:val="ListParagraph"/>
              <w:spacing w:line="360" w:lineRule="auto"/>
              <w:ind w:left="0"/>
              <w:rPr>
                <w:color w:val="auto"/>
              </w:rPr>
            </w:pPr>
            <w:r w:rsidRPr="00BA78E3">
              <w:rPr>
                <w:color w:val="auto"/>
              </w:rPr>
              <w:t>44.6</w:t>
            </w:r>
          </w:p>
        </w:tc>
      </w:tr>
    </w:tbl>
    <w:p w14:paraId="617613F7" w14:textId="77777777" w:rsidR="00767801" w:rsidRPr="00905516" w:rsidRDefault="00E20E29" w:rsidP="00905516">
      <w:pPr>
        <w:pStyle w:val="ListParagraph"/>
        <w:spacing w:line="240" w:lineRule="auto"/>
        <w:jc w:val="center"/>
        <w:rPr>
          <w:sz w:val="20"/>
        </w:rPr>
      </w:pPr>
      <w:r w:rsidRPr="00905516">
        <w:rPr>
          <w:sz w:val="20"/>
        </w:rPr>
        <w:t xml:space="preserve">Source: </w:t>
      </w:r>
      <w:r w:rsidR="00F71F64" w:rsidRPr="00905516">
        <w:rPr>
          <w:sz w:val="20"/>
        </w:rPr>
        <w:t xml:space="preserve">totals from the CMS </w:t>
      </w:r>
      <w:r w:rsidRPr="00905516">
        <w:rPr>
          <w:sz w:val="20"/>
        </w:rPr>
        <w:t>RRB documents October each year</w:t>
      </w:r>
    </w:p>
    <w:p w14:paraId="09E8DDF9" w14:textId="77777777" w:rsidR="000C1D33" w:rsidRDefault="000C1D33" w:rsidP="00767801">
      <w:pPr>
        <w:pStyle w:val="ListParagraph"/>
        <w:spacing w:line="240" w:lineRule="auto"/>
      </w:pPr>
      <w:r>
        <w:t xml:space="preserve">The Tracker in-kind contributions represent the expected cost of maintaining 500 Front End Driver boards (440 + 60 spares) using RAL TD staff effort, which is considerably less than a commercial maintenance contract for power supplies for example. For 2015, the reduced total M&amp;O B cost and the high reliability of the boards and the associated firmware explains the lower in-kind </w:t>
      </w:r>
      <w:r w:rsidR="00A22C28">
        <w:t>allocation</w:t>
      </w:r>
      <w:r>
        <w:t>.</w:t>
      </w:r>
    </w:p>
    <w:p w14:paraId="45985ADF" w14:textId="77777777" w:rsidR="000C1D33" w:rsidRDefault="000C1D33" w:rsidP="00767801">
      <w:pPr>
        <w:pStyle w:val="ListParagraph"/>
        <w:spacing w:line="240" w:lineRule="auto"/>
      </w:pPr>
      <w:r>
        <w:t xml:space="preserve">The Trigger in-kind contributions represent the </w:t>
      </w:r>
      <w:r w:rsidR="00A22C28">
        <w:t xml:space="preserve">annual </w:t>
      </w:r>
      <w:r>
        <w:t>estimated cost of maintaining the GCT system, which we are requested to keep operational until LS2 in 2018.</w:t>
      </w:r>
    </w:p>
    <w:p w14:paraId="039753B9" w14:textId="4BFC816C" w:rsidR="00D367DF" w:rsidRPr="00D367DF" w:rsidRDefault="00BA78E3" w:rsidP="00D367DF">
      <w:pPr>
        <w:pStyle w:val="ListParagraph"/>
        <w:rPr>
          <w:lang w:val="en-US"/>
        </w:rPr>
      </w:pPr>
      <w:r>
        <w:rPr>
          <w:lang w:val="en-US"/>
        </w:rPr>
        <w:t>The ECAL in-kind contributions from 2012-14 include the following specific expenditures: (</w:t>
      </w:r>
      <w:r w:rsidRPr="00BA78E3">
        <w:rPr>
          <w:lang w:val="en-US"/>
        </w:rPr>
        <w:t xml:space="preserve">1) </w:t>
      </w:r>
      <w:r>
        <w:rPr>
          <w:lang w:val="en-US"/>
        </w:rPr>
        <w:t>c</w:t>
      </w:r>
      <w:r w:rsidRPr="00BA78E3">
        <w:rPr>
          <w:lang w:val="en-US"/>
        </w:rPr>
        <w:t>onsumables (liquid helium) for the magnet cryogenic systems of the VPT test facilities and nitrogen for</w:t>
      </w:r>
      <w:r>
        <w:rPr>
          <w:lang w:val="en-US"/>
        </w:rPr>
        <w:t xml:space="preserve"> </w:t>
      </w:r>
      <w:r w:rsidRPr="00BA78E3">
        <w:rPr>
          <w:lang w:val="en-US"/>
        </w:rPr>
        <w:t xml:space="preserve">the storage of VPTs </w:t>
      </w:r>
      <w:r>
        <w:rPr>
          <w:lang w:val="en-US"/>
        </w:rPr>
        <w:t>(</w:t>
      </w:r>
      <w:r w:rsidRPr="00BA78E3">
        <w:rPr>
          <w:lang w:val="en-US"/>
        </w:rPr>
        <w:t xml:space="preserve">2) </w:t>
      </w:r>
      <w:r>
        <w:rPr>
          <w:lang w:val="en-US"/>
        </w:rPr>
        <w:t>c</w:t>
      </w:r>
      <w:r w:rsidRPr="00BA78E3">
        <w:rPr>
          <w:lang w:val="en-US"/>
        </w:rPr>
        <w:t xml:space="preserve">onsumables for the repair </w:t>
      </w:r>
      <w:r w:rsidR="00B72423">
        <w:rPr>
          <w:lang w:val="en-US"/>
        </w:rPr>
        <w:t xml:space="preserve">of the inoperable region of EE </w:t>
      </w:r>
      <w:r w:rsidRPr="00BA78E3">
        <w:rPr>
          <w:lang w:val="en-US"/>
        </w:rPr>
        <w:t>during LS1</w:t>
      </w:r>
      <w:r>
        <w:rPr>
          <w:lang w:val="en-US"/>
        </w:rPr>
        <w:t xml:space="preserve">, </w:t>
      </w:r>
      <w:r w:rsidRPr="00BA78E3">
        <w:rPr>
          <w:lang w:val="en-US"/>
        </w:rPr>
        <w:t xml:space="preserve">(3) </w:t>
      </w:r>
      <w:r>
        <w:rPr>
          <w:lang w:val="en-US"/>
        </w:rPr>
        <w:t>p</w:t>
      </w:r>
      <w:r w:rsidRPr="00BA78E3">
        <w:rPr>
          <w:lang w:val="en-US"/>
        </w:rPr>
        <w:t>urchase of electronics components and spares (incl. EE HV system components)</w:t>
      </w:r>
      <w:r>
        <w:rPr>
          <w:lang w:val="en-US"/>
        </w:rPr>
        <w:t>, (</w:t>
      </w:r>
      <w:r w:rsidRPr="00BA78E3">
        <w:rPr>
          <w:lang w:val="en-US"/>
        </w:rPr>
        <w:t xml:space="preserve">4) </w:t>
      </w:r>
      <w:r>
        <w:rPr>
          <w:lang w:val="en-US"/>
        </w:rPr>
        <w:t>c</w:t>
      </w:r>
      <w:r w:rsidRPr="00BA78E3">
        <w:rPr>
          <w:lang w:val="en-US"/>
        </w:rPr>
        <w:t>ontribution to CERN-based manpower for essential EE installation/HV system work. The 2015 ECAL contribution is expected to be cash-only.</w:t>
      </w:r>
      <w:r w:rsidR="00D367DF">
        <w:rPr>
          <w:lang w:val="en-US"/>
        </w:rPr>
        <w:t xml:space="preserve"> </w:t>
      </w:r>
      <w:bookmarkStart w:id="0" w:name="_GoBack"/>
      <w:bookmarkEnd w:id="0"/>
      <w:r w:rsidR="00D367DF">
        <w:rPr>
          <w:lang w:val="en-US"/>
        </w:rPr>
        <w:t xml:space="preserve">(The variation in the proportion in earlier years is related to </w:t>
      </w:r>
      <w:r w:rsidR="00D367DF" w:rsidRPr="00D367DF">
        <w:rPr>
          <w:lang w:val="en-US"/>
        </w:rPr>
        <w:t>cash contributions to two large value purchases e</w:t>
      </w:r>
      <w:r w:rsidR="00D367DF">
        <w:rPr>
          <w:lang w:val="en-US"/>
        </w:rPr>
        <w:t>ssential for detector operation: HV mainframes and a new laser.)</w:t>
      </w:r>
    </w:p>
    <w:p w14:paraId="1BAF5731" w14:textId="77777777" w:rsidR="000C1D33" w:rsidRDefault="000C1D33" w:rsidP="005A38FA">
      <w:pPr>
        <w:pStyle w:val="ListParagraph"/>
      </w:pPr>
    </w:p>
    <w:p w14:paraId="30B0B9FC" w14:textId="62A18A9F" w:rsidR="00230ACA" w:rsidRPr="00577A9B" w:rsidRDefault="008D49DE" w:rsidP="00CF2C46">
      <w:pPr>
        <w:pStyle w:val="ListNumber"/>
      </w:pPr>
      <w:r>
        <w:t>Please provide named organo</w:t>
      </w:r>
      <w:r w:rsidR="00230ACA" w:rsidRPr="00577A9B">
        <w:t>grams of the international CMS Tracker, ECAL and computing management structures.</w:t>
      </w:r>
    </w:p>
    <w:p w14:paraId="06DBCCF5" w14:textId="332F2E53" w:rsidR="00763708" w:rsidRDefault="000C1D33" w:rsidP="005A38FA">
      <w:pPr>
        <w:pStyle w:val="ListParagraph"/>
      </w:pPr>
      <w:r>
        <w:t xml:space="preserve">Appended </w:t>
      </w:r>
      <w:r w:rsidR="00577A9B">
        <w:t>at the end of</w:t>
      </w:r>
      <w:r>
        <w:t xml:space="preserve"> the document.</w:t>
      </w:r>
      <w:r w:rsidR="00604570">
        <w:t xml:space="preserve"> </w:t>
      </w:r>
    </w:p>
    <w:p w14:paraId="39528B03" w14:textId="77777777" w:rsidR="00604570" w:rsidRPr="00604570" w:rsidRDefault="00604570" w:rsidP="00604570">
      <w:pPr>
        <w:pStyle w:val="ListParagraph"/>
      </w:pPr>
    </w:p>
    <w:p w14:paraId="2EABD688" w14:textId="77777777" w:rsidR="00230ACA" w:rsidRDefault="00230ACA" w:rsidP="00CF2C46">
      <w:pPr>
        <w:pStyle w:val="ListNumber"/>
      </w:pPr>
      <w:r w:rsidRPr="00577A9B">
        <w:t>What is the financial cost increase in M&amp;O per year caused by the increase in trigger from 8.5% to 12.6%? What drives this increase?  What in-kind reduction has been negotiated from the UK Trigger hardware contributions and operations staff?</w:t>
      </w:r>
    </w:p>
    <w:p w14:paraId="1151F8E0" w14:textId="77777777" w:rsidR="00F175F5" w:rsidRDefault="00DE5FBE" w:rsidP="00DE5FBE">
      <w:pPr>
        <w:pStyle w:val="ListParagraph"/>
      </w:pPr>
      <w:r>
        <w:t xml:space="preserve">The L1 trigger is a complex, multinational project where it is hard to devise an equitable algorithm for cost sharing. Up to now each agency has been responsible for its own hardware and some valuation has been attributed to the in-kind resources needed to provide that. As can be seen from the table above, this amounts to ~£10k per year for the UK, which is probably reasonable. However the biggest cost of maintaining the trigger is </w:t>
      </w:r>
      <w:r w:rsidR="00EF16AE">
        <w:t xml:space="preserve">in </w:t>
      </w:r>
      <w:r w:rsidR="00EF16AE">
        <w:lastRenderedPageBreak/>
        <w:t>effort, and Imperial has had one full time engineer (G. Iles)</w:t>
      </w:r>
      <w:r>
        <w:t xml:space="preserve"> </w:t>
      </w:r>
      <w:r w:rsidR="00EF16AE">
        <w:t>based in CERN so that 100% trigger availability is guaranteed. Several other agencies also base staff in CERN</w:t>
      </w:r>
      <w:r>
        <w:t xml:space="preserve"> </w:t>
      </w:r>
      <w:r w:rsidR="00EF16AE">
        <w:t>for the same reason. The counting of individuals is done in all projects, even though it is often not easy to specify precisely, e.g. for those who are contributing to analysis as well as detector operations, and the UK head count has evolved mainly because of the large effort which was required to deliver and operate the GCT, including evaluation of performance and studies and implementation of improved trigger algorithms (not upgrades).</w:t>
      </w:r>
    </w:p>
    <w:p w14:paraId="10C55835" w14:textId="77777777" w:rsidR="00EF16AE" w:rsidRDefault="00EF16AE" w:rsidP="00DE5FBE">
      <w:pPr>
        <w:pStyle w:val="ListParagraph"/>
      </w:pPr>
      <w:r>
        <w:t xml:space="preserve">The largest share of the trigger M&amp;O cost is actually cash required to maintain sufficient online software effort, which has been hard to find. In the last year, partly because of the upgrade requirements, the UK has taken a larger role. The overall </w:t>
      </w:r>
      <w:r w:rsidR="009D0ADA">
        <w:t xml:space="preserve">trigger </w:t>
      </w:r>
      <w:r>
        <w:t xml:space="preserve">M&amp;O B budget is now under review and </w:t>
      </w:r>
      <w:r w:rsidR="009D0ADA">
        <w:t xml:space="preserve">must </w:t>
      </w:r>
      <w:r>
        <w:t xml:space="preserve">reflect the needs for operation from 2015 onwards, as well as </w:t>
      </w:r>
      <w:r w:rsidR="009D0ADA">
        <w:t>existing and new</w:t>
      </w:r>
      <w:r>
        <w:t xml:space="preserve"> hardware maintenance requirements. It is not easy to predict</w:t>
      </w:r>
      <w:r w:rsidR="009D0ADA">
        <w:t xml:space="preserve"> the detailed outcome, at this stage, although the contributions from the UK will certainly be very visible.</w:t>
      </w:r>
    </w:p>
    <w:p w14:paraId="7DD5B0E2" w14:textId="77777777" w:rsidR="00647C06" w:rsidRPr="00577A9B" w:rsidRDefault="00647C06" w:rsidP="00DE5FBE">
      <w:pPr>
        <w:pStyle w:val="ListParagraph"/>
      </w:pPr>
    </w:p>
    <w:p w14:paraId="09EFC0D2" w14:textId="77777777" w:rsidR="00230ACA" w:rsidRDefault="00230ACA" w:rsidP="00CF2C46">
      <w:pPr>
        <w:pStyle w:val="ListNumber"/>
      </w:pPr>
      <w:r w:rsidRPr="00AA3BE0">
        <w:t>proposal is to expand trigger activities, and UK contributions on this so far have been very successful.  In context of flat funding, if preserve 12% trigger contribution (up from 8%) in this round, what would you cut?</w:t>
      </w:r>
    </w:p>
    <w:p w14:paraId="4DC4EF5C" w14:textId="77777777" w:rsidR="00F64DDA" w:rsidRDefault="007B51E1" w:rsidP="007B51E1">
      <w:pPr>
        <w:pStyle w:val="ListParagraph"/>
      </w:pPr>
      <w:r>
        <w:t>As explained in the previous answer, this is a complex issue, and the overall cost sharing is based on a head count of CMS authors and their attribution, by their own ins</w:t>
      </w:r>
      <w:r w:rsidR="00647C06">
        <w:t>t</w:t>
      </w:r>
      <w:r>
        <w:t>itutes</w:t>
      </w:r>
      <w:r w:rsidR="00647C06">
        <w:t>,</w:t>
      </w:r>
      <w:r>
        <w:t xml:space="preserve"> to the detector projects. In the case of the UK, the trigger represents a significant contribution, without which CMS would be in severe difficulty. However, if the next PPGP allocation were to be insufficient to cover the full expected UK M&amp;O B share, then the most natural response would be to discuss reducing the cash contribution to the trigger project, especially as our own online software effort has increased, funded by our upgrade project grant.</w:t>
      </w:r>
    </w:p>
    <w:p w14:paraId="171F89AC" w14:textId="77777777" w:rsidR="00647C06" w:rsidRPr="00AA3BE0" w:rsidRDefault="00647C06" w:rsidP="007B51E1">
      <w:pPr>
        <w:pStyle w:val="ListParagraph"/>
      </w:pPr>
    </w:p>
    <w:p w14:paraId="2FF13885" w14:textId="77777777" w:rsidR="00230ACA" w:rsidRDefault="00230ACA" w:rsidP="00CF2C46">
      <w:pPr>
        <w:pStyle w:val="ListNumber"/>
      </w:pPr>
      <w:r w:rsidRPr="00AA3BE0">
        <w:t xml:space="preserve">why not assume 50% of tracker cash contribution will be remitted as in previous years?  Will the in-kind contribution of TD effort for FED maintenance cease? </w:t>
      </w:r>
    </w:p>
    <w:p w14:paraId="54120029" w14:textId="26BC8CB5" w:rsidR="007B51E1" w:rsidRDefault="002574EB" w:rsidP="002574EB">
      <w:pPr>
        <w:pStyle w:val="ListParagraph"/>
      </w:pPr>
      <w:r>
        <w:t>It has already been discussed and the table above</w:t>
      </w:r>
      <w:r w:rsidR="00647C06">
        <w:t xml:space="preserve"> (Q1)</w:t>
      </w:r>
      <w:r>
        <w:t xml:space="preserve"> reflects the actual agreement. Since the FEDs have been so reliable, it is hard to argue that a large in-kind contribution is justified indefinitely, especially when the overall M&amp;O B budget will decrease (and should remain flat) –</w:t>
      </w:r>
      <w:r w:rsidR="00637765">
        <w:t xml:space="preserve"> </w:t>
      </w:r>
      <w:r>
        <w:t xml:space="preserve">partly  because of a new algorithm which better reflects the pixel-silicon tracker cost sharing </w:t>
      </w:r>
      <w:r w:rsidR="0030415F">
        <w:t xml:space="preserve">from which the UK benefited </w:t>
      </w:r>
      <w:r>
        <w:t>- but the Tracker has expressed great gratitude for the cost-effective maintenance contributions made by the UK. In addition this year, the sudden fall in the value of the euro against the CHF affected many European agencies far more than the UK.</w:t>
      </w:r>
    </w:p>
    <w:p w14:paraId="519D076D" w14:textId="77777777" w:rsidR="00647C06" w:rsidRPr="00AA3BE0" w:rsidRDefault="00647C06" w:rsidP="002574EB">
      <w:pPr>
        <w:pStyle w:val="ListParagraph"/>
      </w:pPr>
    </w:p>
    <w:p w14:paraId="1032B4F8" w14:textId="77777777" w:rsidR="00230ACA" w:rsidRDefault="00230ACA" w:rsidP="00CF2C46">
      <w:pPr>
        <w:pStyle w:val="ListNumber"/>
      </w:pPr>
      <w:r w:rsidRPr="00AA3BE0">
        <w:t>Why has M&amp;O FTE increased from 3 months/year to 4 months/ year if the experiment is becoming</w:t>
      </w:r>
      <w:r w:rsidR="00780853">
        <w:t xml:space="preserve"> more efficient at operations?</w:t>
      </w:r>
    </w:p>
    <w:p w14:paraId="045555CE" w14:textId="77777777" w:rsidR="00780853" w:rsidRDefault="00780853" w:rsidP="00780853">
      <w:pPr>
        <w:pStyle w:val="ListParagraph"/>
      </w:pPr>
      <w:r>
        <w:lastRenderedPageBreak/>
        <w:t>This is another simple question with a complex answer! The 3 months/year estimate was made several years ago, even before CMS operations had fully begun. Since then, there have been many debates about the M&amp;O effort actually needed, which it should be recalled covers a wide range of tasks and not only detector hardware maintenance. Everything which is not physics analysis is essentially included as a “service” activity. CMS has constantly found that there are tasks which are not sufficiently covered and appeals are made to do so. They include many software tasks providing support for physics, but which are not analysis, as well as many detector operations duties, including things like safety shifts. One problem is that many such tasks require expertise which is not quickly gained.</w:t>
      </w:r>
    </w:p>
    <w:p w14:paraId="58C96CCB" w14:textId="77777777" w:rsidR="00780853" w:rsidRDefault="00780853" w:rsidP="00780853">
      <w:pPr>
        <w:pStyle w:val="ListParagraph"/>
      </w:pPr>
      <w:r>
        <w:t>In view of this, and to ensure fairness within the distribution of service work, the previous, and especially the present, management team have undertaken a lengthy exercise to evaluate the essential tasks, and investigate the sharing. The conclusion was that the actual effort required is close to 4 months/author and that up to now this has mostly been provided because many CMS members and institutes were actually delivering more than their formal commitments.</w:t>
      </w:r>
      <w:r w:rsidR="00637765">
        <w:t xml:space="preserve"> (This includes UK groups.)</w:t>
      </w:r>
    </w:p>
    <w:p w14:paraId="425F80FC" w14:textId="426199D9" w:rsidR="00780853" w:rsidRDefault="00780853" w:rsidP="00780853">
      <w:pPr>
        <w:pStyle w:val="ListParagraph"/>
      </w:pPr>
      <w:r>
        <w:t xml:space="preserve">We believe CMS operations are a well managed activity, as efficient as they could </w:t>
      </w:r>
      <w:r w:rsidR="004D5AAA">
        <w:t xml:space="preserve">be, in areas where there are </w:t>
      </w:r>
      <w:r>
        <w:t>many</w:t>
      </w:r>
      <w:r w:rsidR="00977D34">
        <w:t xml:space="preserve"> more</w:t>
      </w:r>
      <w:r>
        <w:t xml:space="preserve"> </w:t>
      </w:r>
      <w:r w:rsidR="00CF4231">
        <w:t>non-professionals</w:t>
      </w:r>
      <w:r>
        <w:t xml:space="preserve">, where real technical tasks </w:t>
      </w:r>
      <w:r w:rsidR="00007C0A">
        <w:t xml:space="preserve">are concerned, </w:t>
      </w:r>
      <w:r w:rsidR="00977D34">
        <w:t>than</w:t>
      </w:r>
      <w:r w:rsidR="00007C0A">
        <w:t xml:space="preserve"> professionals</w:t>
      </w:r>
      <w:r>
        <w:t>.</w:t>
      </w:r>
      <w:r w:rsidR="00007C0A">
        <w:t xml:space="preserve"> However, it must be remembered that CMS does rely on a significant number of technical support staff on short term contracts paid partly from M&amp;O B funding, and that there are many tasks where turnover is inevitable (e.g. maintenance of calibration and alignment, or physics, tools, often carried out by PhD students or postdocs) and therefore need regular replenishment, including continuous training.</w:t>
      </w:r>
    </w:p>
    <w:p w14:paraId="64E42A32" w14:textId="77777777" w:rsidR="00821F13" w:rsidRPr="00AA3BE0" w:rsidRDefault="00821F13" w:rsidP="00780853">
      <w:pPr>
        <w:pStyle w:val="ListParagraph"/>
      </w:pPr>
    </w:p>
    <w:p w14:paraId="2033BA86" w14:textId="77777777" w:rsidR="00230ACA" w:rsidRDefault="00230ACA" w:rsidP="00CF2C46">
      <w:pPr>
        <w:pStyle w:val="ListNumber"/>
      </w:pPr>
      <w:r w:rsidRPr="00AA3BE0">
        <w:t>What drives the decrease in estimated M&amp;O B cost after 2017?</w:t>
      </w:r>
    </w:p>
    <w:p w14:paraId="7B8771E8" w14:textId="77777777" w:rsidR="00AA3BE0" w:rsidRDefault="00AA3BE0" w:rsidP="00124B60">
      <w:pPr>
        <w:pStyle w:val="ListParagraph"/>
      </w:pPr>
      <w:r>
        <w:t>CMS has attempted to reduce M&amp;O B costs for several years, and continues to do so. However there were</w:t>
      </w:r>
      <w:r w:rsidR="000227FD">
        <w:t>, e.g.,</w:t>
      </w:r>
      <w:r>
        <w:t xml:space="preserve"> significant costs for the Tracker during LS1 which were </w:t>
      </w:r>
      <w:r w:rsidR="00821F13">
        <w:t xml:space="preserve">partly </w:t>
      </w:r>
      <w:r>
        <w:t xml:space="preserve">covered by using cash savings which had been accumulated as well as from regular annual contributions. The most notable costs were in the cooling system, including cooling plant and improved dry air provision, as well as the costs </w:t>
      </w:r>
      <w:r w:rsidR="0056194D">
        <w:t>of</w:t>
      </w:r>
      <w:r>
        <w:t xml:space="preserve"> effort needed to seal the tracker for operation at -20°C</w:t>
      </w:r>
      <w:r w:rsidR="0056194D">
        <w:t>, and other maintenance</w:t>
      </w:r>
      <w:r>
        <w:t xml:space="preserve">. Other costs involved electronics, power supplies, and various mechanics costs but the largest part of the overall budget is still </w:t>
      </w:r>
      <w:r w:rsidR="0056194D">
        <w:t>manpower at CERN, which accounts for 60% in 2016.</w:t>
      </w:r>
      <w:r w:rsidR="006E742B">
        <w:t xml:space="preserve"> However, hardware has generally been very reliable and it seems that the major challenges of the c</w:t>
      </w:r>
      <w:r w:rsidR="000227FD">
        <w:t>ooling system have been covered, so expenses should decline further in future.</w:t>
      </w:r>
    </w:p>
    <w:p w14:paraId="1629B936" w14:textId="63F1C194" w:rsidR="006E742B" w:rsidRPr="00CF4231" w:rsidRDefault="006E742B" w:rsidP="00CF4231">
      <w:pPr>
        <w:pStyle w:val="ListParagraph"/>
        <w:rPr>
          <w:rFonts w:ascii="Helvetica" w:eastAsia="Times New Roman" w:hAnsi="Helvetica" w:cs="Helvetica"/>
          <w:color w:val="auto"/>
          <w:sz w:val="24"/>
          <w:lang w:val="en-US"/>
        </w:rPr>
      </w:pPr>
      <w:r>
        <w:t xml:space="preserve">The ECAL has also made significant, successful efforts to reduce M&amp;O B for several years. </w:t>
      </w:r>
      <w:r w:rsidR="00CF4231">
        <w:rPr>
          <w:lang w:val="en-US"/>
        </w:rPr>
        <w:t>T</w:t>
      </w:r>
      <w:r w:rsidR="00CF4231" w:rsidRPr="00CF4231">
        <w:rPr>
          <w:lang w:val="en-US"/>
        </w:rPr>
        <w:t xml:space="preserve">here have been a few large expenditures </w:t>
      </w:r>
      <w:r w:rsidR="002C23A6">
        <w:rPr>
          <w:lang w:val="en-US"/>
        </w:rPr>
        <w:t>in the last few years. New l</w:t>
      </w:r>
      <w:r w:rsidR="00CF4231" w:rsidRPr="00CF4231">
        <w:rPr>
          <w:lang w:val="en-US"/>
        </w:rPr>
        <w:t>asers have been bought and the HV system is being upgraded to reduce the level of manual intervention required for calibration.</w:t>
      </w:r>
      <w:r w:rsidR="00CF4231">
        <w:rPr>
          <w:lang w:val="en-US"/>
        </w:rPr>
        <w:t xml:space="preserve"> </w:t>
      </w:r>
      <w:r w:rsidR="00CF4231" w:rsidRPr="00CF4231">
        <w:rPr>
          <w:lang w:val="en-US"/>
        </w:rPr>
        <w:t xml:space="preserve">There was also </w:t>
      </w:r>
      <w:r w:rsidR="00CF4231">
        <w:rPr>
          <w:lang w:val="en-US"/>
        </w:rPr>
        <w:t xml:space="preserve">an </w:t>
      </w:r>
      <w:r w:rsidR="00CF4231" w:rsidRPr="00CF4231">
        <w:rPr>
          <w:lang w:val="en-US"/>
        </w:rPr>
        <w:t xml:space="preserve">unexpected repair </w:t>
      </w:r>
      <w:r w:rsidR="00CF4231">
        <w:rPr>
          <w:lang w:val="en-US"/>
        </w:rPr>
        <w:t>t</w:t>
      </w:r>
      <w:r w:rsidR="00CF4231" w:rsidRPr="00CF4231">
        <w:rPr>
          <w:lang w:val="en-US"/>
        </w:rPr>
        <w:t xml:space="preserve">o the PS </w:t>
      </w:r>
      <w:r w:rsidR="00CF4231">
        <w:rPr>
          <w:lang w:val="en-US"/>
        </w:rPr>
        <w:t>although with</w:t>
      </w:r>
      <w:r w:rsidR="00CF4231" w:rsidRPr="00CF4231">
        <w:rPr>
          <w:lang w:val="en-US"/>
        </w:rPr>
        <w:t xml:space="preserve"> </w:t>
      </w:r>
      <w:r w:rsidR="002C23A6">
        <w:rPr>
          <w:lang w:val="en-US"/>
        </w:rPr>
        <w:t>modest</w:t>
      </w:r>
      <w:r w:rsidR="00CF4231" w:rsidRPr="00CF4231">
        <w:rPr>
          <w:lang w:val="en-US"/>
        </w:rPr>
        <w:t xml:space="preserve"> expenditure.</w:t>
      </w:r>
      <w:r w:rsidR="00CF4231" w:rsidRPr="00CF4231">
        <w:t xml:space="preserve"> </w:t>
      </w:r>
      <w:r w:rsidR="00CF4231">
        <w:t>As for the Tracker, the hardware has been reliable and there is little further opportunity for major interventions.</w:t>
      </w:r>
    </w:p>
    <w:p w14:paraId="59B2FDB2" w14:textId="77777777" w:rsidR="006E742B" w:rsidRDefault="006E742B" w:rsidP="00124B60">
      <w:pPr>
        <w:pStyle w:val="ListParagraph"/>
      </w:pPr>
      <w:r>
        <w:lastRenderedPageBreak/>
        <w:t xml:space="preserve">CMS does not have estimates for M&amp;O B costs after 2017. However, in our tables a small decrease of £8k, from a baseline of £120k, was thought possible, based on current trends in CMS and the absence of interventions until LS2. However, it is true that there is no solid basis for certainty. Of late, the biggest impact has come from recent exchange rate changes, which is not excluded in future. </w:t>
      </w:r>
    </w:p>
    <w:p w14:paraId="42BB6E87" w14:textId="77777777" w:rsidR="00821F13" w:rsidRPr="00AA3BE0" w:rsidRDefault="00821F13" w:rsidP="00124B60">
      <w:pPr>
        <w:pStyle w:val="ListParagraph"/>
      </w:pPr>
    </w:p>
    <w:p w14:paraId="2B8C1B38" w14:textId="77777777" w:rsidR="00230ACA" w:rsidRDefault="00230ACA" w:rsidP="00CF2C46">
      <w:pPr>
        <w:pStyle w:val="ListNumber"/>
      </w:pPr>
      <w:bookmarkStart w:id="1" w:name="GoBack"/>
      <w:bookmarkEnd w:id="1"/>
      <w:r w:rsidRPr="00AA3BE0">
        <w:t>The suggestion to harmonise the CMS pixel and strip DAQ was approved prior to CG-2012. Please report on the progress that has been made.</w:t>
      </w:r>
    </w:p>
    <w:p w14:paraId="38FCF595" w14:textId="4748A622" w:rsidR="00763708" w:rsidRDefault="00CB7274" w:rsidP="00CB7274">
      <w:pPr>
        <w:pStyle w:val="ListParagraph"/>
      </w:pPr>
      <w:r>
        <w:t xml:space="preserve">Indeed we made a proposal in 2012 to try to do this which was positively received by the Tracker. The benefits would have been </w:t>
      </w:r>
      <w:r w:rsidR="00535F91">
        <w:t>felt in long</w:t>
      </w:r>
      <w:r>
        <w:t xml:space="preserve"> term maintenance of the system, possibly with fewer people, as a significant effort would have been needed to build the common system. However, the proposal was based on the assumption that the UK would join the pixel upgrade project and take a role in the </w:t>
      </w:r>
      <w:r w:rsidR="00535F91">
        <w:t xml:space="preserve">DAQ, both hardware and software, as well as continue our existing contributions to the silicon microstrip tracker DAQ. </w:t>
      </w:r>
    </w:p>
    <w:p w14:paraId="40E4EE01" w14:textId="153C7E17" w:rsidR="00535F91" w:rsidRDefault="00535F91" w:rsidP="00CB7274">
      <w:pPr>
        <w:pStyle w:val="ListParagraph"/>
      </w:pPr>
      <w:r>
        <w:t>However, at the end of 2012 we were told that the pixel part of our upgrade proposal would not be funded so we were unable to contribute to such a long term initiative. Given the small number in the silicon tracker DAQ team and the rather large load on them, as well as the evolution of the pixel system, which is a completely new detector, it was not really possible to continue this activity.</w:t>
      </w:r>
    </w:p>
    <w:p w14:paraId="5B661E7B" w14:textId="77777777" w:rsidR="00135DF4" w:rsidRPr="00E16D10" w:rsidRDefault="00135DF4" w:rsidP="00763708">
      <w:pPr>
        <w:pStyle w:val="ListParagraph"/>
        <w:rPr>
          <w:color w:val="FF0000"/>
        </w:rPr>
      </w:pPr>
    </w:p>
    <w:p w14:paraId="77AC4E37" w14:textId="77777777" w:rsidR="00230ACA" w:rsidRDefault="00230ACA" w:rsidP="00CF2C46">
      <w:pPr>
        <w:pStyle w:val="ListNumber"/>
      </w:pPr>
      <w:r w:rsidRPr="00AA3BE0">
        <w:t>What efficiencies in manpower have been obtained by sharing expertise across multiple components of (tracker/trigger/ECAL) subsystems or multiple subsystems?</w:t>
      </w:r>
    </w:p>
    <w:p w14:paraId="284185A6" w14:textId="3C0F40FD" w:rsidR="001B1BBA" w:rsidRDefault="00135DF4" w:rsidP="00763708">
      <w:pPr>
        <w:pStyle w:val="ListParagraph"/>
      </w:pPr>
      <w:r>
        <w:t>In central operations at Point 5, the shift crews have been minimised by</w:t>
      </w:r>
      <w:r w:rsidR="008343FB">
        <w:t xml:space="preserve"> good</w:t>
      </w:r>
      <w:r w:rsidR="00E80BA5">
        <w:t xml:space="preserve"> coordination</w:t>
      </w:r>
      <w:r w:rsidR="008343FB">
        <w:t xml:space="preserve"> and using remote on-call experts</w:t>
      </w:r>
      <w:r w:rsidR="00E80BA5">
        <w:t xml:space="preserve">, but it hard to claim that sharing expertise has led to manpower reductions across subsystems. It is doubtful that this is possible. Individual DAQ teams are already small, with few experts stretched, and it is a very large job to maintain the sub-system DAQs, and they are by no means identical, even if based on the same core software. </w:t>
      </w:r>
      <w:r w:rsidR="00C928F3">
        <w:t>Similar considerations apply to hardware, where there is even more diversity. For example the power supplies for tracker and ECAL are very different, and made by different companies, to different requirements.</w:t>
      </w:r>
    </w:p>
    <w:p w14:paraId="74B0F9E8" w14:textId="77777777" w:rsidR="00135DF4" w:rsidRPr="00AA3BE0" w:rsidRDefault="00135DF4" w:rsidP="00763708">
      <w:pPr>
        <w:pStyle w:val="ListParagraph"/>
      </w:pPr>
    </w:p>
    <w:p w14:paraId="447039DC" w14:textId="77777777" w:rsidR="001B1BBA" w:rsidRPr="001B1BBA" w:rsidRDefault="00230ACA" w:rsidP="00CF2C46">
      <w:pPr>
        <w:pStyle w:val="ListNumber"/>
      </w:pPr>
      <w:r w:rsidRPr="00AA3BE0">
        <w:t>Over what timescale has the 4T VPT facility been running? What further data are required that has not been obtained over that operation period?</w:t>
      </w:r>
    </w:p>
    <w:p w14:paraId="33BF4128" w14:textId="6064C6B3" w:rsidR="00E82282" w:rsidRPr="00E82282" w:rsidRDefault="00E82282" w:rsidP="00E82282">
      <w:pPr>
        <w:pStyle w:val="ListParagraph"/>
        <w:rPr>
          <w:rFonts w:ascii="Times New Roman" w:hAnsi="Times New Roman"/>
          <w:color w:val="auto"/>
          <w:lang w:val="en-US"/>
        </w:rPr>
      </w:pPr>
      <w:r>
        <w:rPr>
          <w:lang w:val="en-US"/>
        </w:rPr>
        <w:t xml:space="preserve">Brunel provided ~ 15% sample testing at 4T of the ~ 16000 VPT (and spares) currently installed in the endcap ECAL (EE). Since then we have been running a modified facility to evaluate the long term effects on a number of VPT devices, operating at 4T field, to understand both short term response variations (LHC beam ON </w:t>
      </w:r>
      <w:proofErr w:type="spellStart"/>
      <w:r>
        <w:rPr>
          <w:lang w:val="en-US"/>
        </w:rPr>
        <w:t>vs</w:t>
      </w:r>
      <w:proofErr w:type="spellEnd"/>
      <w:r>
        <w:rPr>
          <w:lang w:val="en-US"/>
        </w:rPr>
        <w:t xml:space="preserve"> LHC beam OFF) and much longer term effects which depend on the integrated charge taken from the photocathode. In Run II the conditions under which the VPT operate will change significantly and these studies </w:t>
      </w:r>
      <w:r>
        <w:rPr>
          <w:lang w:val="en-US"/>
        </w:rPr>
        <w:lastRenderedPageBreak/>
        <w:t>will need to continue so that effects seen in CMS data can be understood and realistic predictions made about performance degradation up until the point at which the EE will be replaced. Until 2014 there was an additional facility available to CMS at the University of Virginia, but since then the Brunel facility, which is well understood and has operated continuously for many years, is now the only test bed available to the collaboration.</w:t>
      </w:r>
    </w:p>
    <w:p w14:paraId="63464CAF" w14:textId="4B3379B7" w:rsidR="00324E7E" w:rsidRDefault="00E82282" w:rsidP="00E82282">
      <w:pPr>
        <w:pStyle w:val="ListParagraph"/>
        <w:rPr>
          <w:lang w:val="en-US"/>
        </w:rPr>
      </w:pPr>
      <w:r>
        <w:rPr>
          <w:lang w:val="en-US"/>
        </w:rPr>
        <w:t>In addition, VPTs are under consideration as possible photodetectors for reworked or upgraded endcap detector solutions. A number of spare VPTs exist from the final production batch used in the existing detector but most of them have not been tested at 4T field. If such a plan were to be implemented that requires the use of these VPTs, then they would need to go through the same QA process, at Brunel, as the original installed devices. We are currently testing a small number of these VPT for use in beam tests later in 2015 to check the feasibility of one such endcap reworking scheme.</w:t>
      </w:r>
    </w:p>
    <w:p w14:paraId="15279FD1" w14:textId="77777777" w:rsidR="00E82282" w:rsidRPr="00E616A6" w:rsidRDefault="00E82282" w:rsidP="00E82282">
      <w:pPr>
        <w:pStyle w:val="ListParagraph"/>
        <w:rPr>
          <w:color w:val="FF0000"/>
        </w:rPr>
      </w:pPr>
    </w:p>
    <w:p w14:paraId="1AF8CC0A" w14:textId="77777777" w:rsidR="001B1BBA" w:rsidRPr="001B1BBA" w:rsidRDefault="00230ACA" w:rsidP="00CF2C46">
      <w:pPr>
        <w:pStyle w:val="ListNumber"/>
      </w:pPr>
      <w:r w:rsidRPr="00AA3BE0">
        <w:t xml:space="preserve">On p3. of the workbook, why is TD technician effort increased from 0.2 to 0.5 in actual </w:t>
      </w:r>
      <w:proofErr w:type="spellStart"/>
      <w:r w:rsidRPr="00AA3BE0">
        <w:t>vs</w:t>
      </w:r>
      <w:proofErr w:type="spellEnd"/>
      <w:r w:rsidRPr="00AA3BE0">
        <w:t xml:space="preserve"> provisional allocation?   </w:t>
      </w:r>
    </w:p>
    <w:p w14:paraId="55B855C7" w14:textId="77777777" w:rsidR="001B1BBA" w:rsidRDefault="00124B60" w:rsidP="0059351B">
      <w:pPr>
        <w:pStyle w:val="ListParagraph"/>
        <w:jc w:val="both"/>
      </w:pPr>
      <w:r w:rsidRPr="00124B60">
        <w:t>The first column</w:t>
      </w:r>
      <w:r>
        <w:t xml:space="preserve"> refers to the estimated breakdown of engineer (0.9 FTE) and technician (0.2 FTE) effort which was thought to be required in 2012</w:t>
      </w:r>
      <w:r w:rsidR="006F411B">
        <w:t>, i.e.</w:t>
      </w:r>
      <w:r>
        <w:t xml:space="preserve"> at the time of the previous grant request. Our actual usage during the last year over both ECAL and Tracker or so seems</w:t>
      </w:r>
      <w:r w:rsidR="0059351B">
        <w:t xml:space="preserve"> to be closer to </w:t>
      </w:r>
      <w:r w:rsidR="006F411B">
        <w:t xml:space="preserve">50:50 </w:t>
      </w:r>
      <w:proofErr w:type="spellStart"/>
      <w:r w:rsidR="006F411B">
        <w:t>engineer:technician</w:t>
      </w:r>
      <w:proofErr w:type="spellEnd"/>
      <w:r w:rsidR="0059351B">
        <w:t>. Hence, as that leads to a lower cost, it was used for future planning as well as the likely profile of the activities. We noted that:</w:t>
      </w:r>
    </w:p>
    <w:p w14:paraId="1BBF8B56" w14:textId="77777777" w:rsidR="00124B60" w:rsidRDefault="0059351B" w:rsidP="0059351B">
      <w:pPr>
        <w:pStyle w:val="ListParagraph"/>
        <w:jc w:val="both"/>
      </w:pPr>
      <w:r>
        <w:t>“</w:t>
      </w:r>
      <w:r w:rsidR="00124B60">
        <w:t>In the present financial year, 2014-15, about 0.5 FTE is expected to suffice, since LS1 activities on the EE were already  completed and the Tracker FEDs have not been in operation during LS1. However, once Run II begins, we expect to incur FED maintenance requests again and there are new requests from the ECAL to prepare for radiation damage to the crystals by developing maintenance tools. Hence our TD requirements will rise during the coming year</w:t>
      </w:r>
      <w:r>
        <w:t>.”</w:t>
      </w:r>
    </w:p>
    <w:p w14:paraId="5381BA20" w14:textId="77777777" w:rsidR="00D7031E" w:rsidRPr="00124B60" w:rsidRDefault="00D7031E" w:rsidP="0059351B">
      <w:pPr>
        <w:pStyle w:val="ListParagraph"/>
        <w:jc w:val="both"/>
        <w:rPr>
          <w:color w:val="auto"/>
        </w:rPr>
      </w:pPr>
    </w:p>
    <w:p w14:paraId="1E512621" w14:textId="77777777" w:rsidR="001434C8" w:rsidRPr="001434C8" w:rsidRDefault="00230ACA" w:rsidP="00CF2C46">
      <w:pPr>
        <w:pStyle w:val="ListNumber"/>
      </w:pPr>
      <w:r w:rsidRPr="00AA3BE0">
        <w:t>Please quantify the performance improvements in the CMS detector that are attributable to the actions of the TD staff du</w:t>
      </w:r>
      <w:r w:rsidR="001434C8">
        <w:t>ring the previous grant period.</w:t>
      </w:r>
    </w:p>
    <w:p w14:paraId="2A308932" w14:textId="604B2581" w:rsidR="00E66913" w:rsidRDefault="00ED566E" w:rsidP="00124B60">
      <w:pPr>
        <w:pStyle w:val="ListParagraph"/>
      </w:pPr>
      <w:r>
        <w:t xml:space="preserve">The TD staff allocation in the previous grants round was about </w:t>
      </w:r>
      <w:r w:rsidR="00573246">
        <w:t>1</w:t>
      </w:r>
      <w:r>
        <w:t xml:space="preserve"> FTE per year, </w:t>
      </w:r>
      <w:r w:rsidR="00573246">
        <w:t>and was based on the assumption that about half would be required fo</w:t>
      </w:r>
      <w:r w:rsidR="005A38FA">
        <w:t>r Tracker FED maintenance, as a</w:t>
      </w:r>
      <w:r w:rsidR="00573246">
        <w:t xml:space="preserve"> mixture of technician and engineer time, to provide firmware updates and debugging, and testing, repairs and reinstallation work on the FED boa</w:t>
      </w:r>
      <w:r w:rsidR="00C22BED">
        <w:t>rd</w:t>
      </w:r>
      <w:r w:rsidR="00573246">
        <w:t xml:space="preserve">s themselves. The actual Tracker </w:t>
      </w:r>
      <w:r w:rsidR="005A38FA">
        <w:t xml:space="preserve">TD </w:t>
      </w:r>
      <w:r w:rsidR="00573246">
        <w:t xml:space="preserve">use has declined during the grant period, but it should be recalled that CMS has not actually been operating for the last two years, so </w:t>
      </w:r>
      <w:r w:rsidR="00C22BED">
        <w:t xml:space="preserve">high </w:t>
      </w:r>
      <w:r w:rsidR="00573246">
        <w:t>reliability and reduced firmware effort was to be expected. It is yet to be seen if the FEDs continue to be so reliable as they and their surroundings age, and we cannot rule out accidents, such as cooling failures in the underground racks, which have occurred but fortunately without serious consequences for the Tracker.</w:t>
      </w:r>
      <w:r w:rsidR="00E66913">
        <w:t xml:space="preserve"> The tracker has been very reliable, especially the readout, though vigilance and monitoring are essential to ensure this. It is hard to attribute that specifically to TD staff, </w:t>
      </w:r>
      <w:r w:rsidR="00E66913">
        <w:lastRenderedPageBreak/>
        <w:t xml:space="preserve">especially with such a modest allocation </w:t>
      </w:r>
      <w:r w:rsidR="00C22BED">
        <w:t xml:space="preserve">of </w:t>
      </w:r>
      <w:r w:rsidR="00E66913">
        <w:t>effort, but the high reliability is certainly due to the good design, careful planning and installation work carried out by RAL TD and Imperial College staff.</w:t>
      </w:r>
      <w:r w:rsidR="00062176">
        <w:t xml:space="preserve"> CMS certainly would not welcome a withdrawal of such support and the difficulty we would then expect to encounter when inevitable problems do arise.</w:t>
      </w:r>
      <w:r w:rsidR="00D7031E">
        <w:t xml:space="preserve"> Very high reliability and sub-detector system availability are crucial for </w:t>
      </w:r>
      <w:r w:rsidR="006172EE">
        <w:t xml:space="preserve">CMS </w:t>
      </w:r>
      <w:r w:rsidR="00D7031E">
        <w:t>data collection.</w:t>
      </w:r>
    </w:p>
    <w:p w14:paraId="230C0866" w14:textId="67590207" w:rsidR="00727D77" w:rsidRPr="00727D77" w:rsidRDefault="00573246" w:rsidP="00727D77">
      <w:pPr>
        <w:pStyle w:val="ListParagraph"/>
      </w:pPr>
      <w:r>
        <w:t xml:space="preserve">The remainder of our request in the previous grant round was related to ECAL operations </w:t>
      </w:r>
      <w:r w:rsidRPr="00727D77">
        <w:t xml:space="preserve">and repairs during LS1. </w:t>
      </w:r>
      <w:r w:rsidR="00727D77" w:rsidRPr="00727D77">
        <w:t>As noted in our PPGP submission:</w:t>
      </w:r>
      <w:r w:rsidR="00727D77">
        <w:t xml:space="preserve"> r</w:t>
      </w:r>
      <w:r w:rsidR="00727D77" w:rsidRPr="00727D77">
        <w:t>epair of a previously inoperable EE region was completed in 2013 by Hill, Brummitt (RAL TD) and Durkin.</w:t>
      </w:r>
      <w:r w:rsidR="00727D77">
        <w:t xml:space="preserve"> It </w:t>
      </w:r>
      <w:r w:rsidR="00727D77">
        <w:rPr>
          <w:lang w:val="en-US"/>
        </w:rPr>
        <w:t xml:space="preserve">corresponds to a </w:t>
      </w:r>
      <w:proofErr w:type="spellStart"/>
      <w:r w:rsidR="00727D77">
        <w:rPr>
          <w:lang w:val="en-US"/>
        </w:rPr>
        <w:t>localised</w:t>
      </w:r>
      <w:proofErr w:type="spellEnd"/>
      <w:r w:rsidR="00727D77">
        <w:rPr>
          <w:lang w:val="en-US"/>
        </w:rPr>
        <w:t xml:space="preserve"> region of 75 channels (1% of the positive endcap) that was inoperable during </w:t>
      </w:r>
      <w:r w:rsidR="00727D77">
        <w:t xml:space="preserve"> </w:t>
      </w:r>
      <w:r w:rsidR="00727D77">
        <w:rPr>
          <w:lang w:val="en-US"/>
        </w:rPr>
        <w:t>the majority of Run I, and was responsible for degraded MET performance. After repair, the region is fully operational.</w:t>
      </w:r>
      <w:r w:rsidR="00C22BED">
        <w:rPr>
          <w:lang w:val="en-US"/>
        </w:rPr>
        <w:t xml:space="preserve"> Although small in physical terms, this is important for physics performance, and was not an easy task to fulfill.</w:t>
      </w:r>
    </w:p>
    <w:p w14:paraId="1FAB049A" w14:textId="77777777" w:rsidR="00727D77" w:rsidRPr="00727D77" w:rsidRDefault="00727D77" w:rsidP="00727D77">
      <w:pPr>
        <w:pStyle w:val="ListParagraph"/>
      </w:pPr>
    </w:p>
    <w:p w14:paraId="7EDC4FB9" w14:textId="77777777" w:rsidR="00230ACA" w:rsidRPr="0056194D" w:rsidRDefault="00230ACA" w:rsidP="00CF2C46">
      <w:pPr>
        <w:pStyle w:val="ListNumber"/>
        <w:rPr>
          <w:sz w:val="24"/>
        </w:rPr>
      </w:pPr>
      <w:r w:rsidRPr="00AA3BE0">
        <w:t>is Brunel travel included in the short-term or long-term projections?</w:t>
      </w:r>
    </w:p>
    <w:p w14:paraId="64EB6CDB" w14:textId="77777777" w:rsidR="0056194D" w:rsidRDefault="0056194D" w:rsidP="0056194D">
      <w:pPr>
        <w:ind w:left="709"/>
        <w:rPr>
          <w:lang w:val="en-US"/>
        </w:rPr>
      </w:pPr>
      <w:r>
        <w:rPr>
          <w:lang w:val="en-US"/>
        </w:rPr>
        <w:t xml:space="preserve">Short Term Travel </w:t>
      </w:r>
      <w:r w:rsidR="00650761">
        <w:rPr>
          <w:lang w:val="en-US"/>
        </w:rPr>
        <w:t>a</w:t>
      </w:r>
      <w:r>
        <w:rPr>
          <w:lang w:val="en-US"/>
        </w:rPr>
        <w:t xml:space="preserve">broad costs have been included for the listed </w:t>
      </w:r>
      <w:r w:rsidR="00650761">
        <w:rPr>
          <w:lang w:val="en-US"/>
        </w:rPr>
        <w:t>t</w:t>
      </w:r>
      <w:r>
        <w:rPr>
          <w:lang w:val="en-US"/>
        </w:rPr>
        <w:t>ravellers at Brunel University London for all the years 2015-2020 inclusive. There is no request made for Long Term Travel for a named individual from Brunel during this period.</w:t>
      </w:r>
    </w:p>
    <w:p w14:paraId="36BC091E" w14:textId="77777777" w:rsidR="00324E7E" w:rsidRPr="00811CB4" w:rsidRDefault="00324E7E" w:rsidP="0056194D">
      <w:pPr>
        <w:ind w:left="709"/>
        <w:rPr>
          <w:color w:val="auto"/>
          <w:sz w:val="24"/>
        </w:rPr>
      </w:pPr>
    </w:p>
    <w:p w14:paraId="66B68B87" w14:textId="77777777" w:rsidR="00230ACA" w:rsidRPr="00763708" w:rsidRDefault="00230ACA" w:rsidP="00CF2C46">
      <w:pPr>
        <w:pStyle w:val="ListNumber"/>
        <w:rPr>
          <w:color w:val="FF0000"/>
        </w:rPr>
      </w:pPr>
      <w:r w:rsidRPr="00AA3BE0">
        <w:t>5 RAL listed as on LTA on p15 but only 4 listed in tables for long term travel (Thea missing). Why?</w:t>
      </w:r>
    </w:p>
    <w:p w14:paraId="0413ACC3" w14:textId="77777777" w:rsidR="00FD774B" w:rsidRDefault="00FD774B" w:rsidP="00124B60">
      <w:pPr>
        <w:pStyle w:val="ListParagraph"/>
      </w:pPr>
      <w:r w:rsidRPr="00BE42A6">
        <w:rPr>
          <w:color w:val="auto"/>
        </w:rPr>
        <w:t>Alessandro Thea is currently paid from the upgrade project grant allocation and is leading</w:t>
      </w:r>
      <w:r>
        <w:t xml:space="preserve"> the CMS</w:t>
      </w:r>
      <w:r w:rsidR="00324E7E">
        <w:t xml:space="preserve"> L1 </w:t>
      </w:r>
      <w:r>
        <w:t xml:space="preserve">trigger online </w:t>
      </w:r>
      <w:r w:rsidR="005A24DC">
        <w:t xml:space="preserve">software, which is undergoing </w:t>
      </w:r>
      <w:r>
        <w:t xml:space="preserve">major revision. He is based in CERN on LTA, paid from the upgrade travel grant. While this work is associated with the upgrade at present, </w:t>
      </w:r>
      <w:r w:rsidR="005A24DC">
        <w:t>after</w:t>
      </w:r>
      <w:r>
        <w:t xml:space="preserve"> 2016 it </w:t>
      </w:r>
      <w:r w:rsidR="005A24DC">
        <w:t>really</w:t>
      </w:r>
      <w:r>
        <w:t xml:space="preserve"> becomes an M&amp;O activity, and therefore it was not assumed that he would be supported indefinitely from the upgrade travel allocation which is foreseen to peak during the commissioning period of 2015-2016 and then decline.</w:t>
      </w:r>
      <w:r w:rsidR="005A24DC">
        <w:t xml:space="preserve"> However, the trigger online software is a major task, which is crucial for </w:t>
      </w:r>
      <w:r w:rsidR="00324E7E">
        <w:t xml:space="preserve">CMS </w:t>
      </w:r>
      <w:r w:rsidR="005A24DC">
        <w:t>operation</w:t>
      </w:r>
      <w:r w:rsidR="00324E7E">
        <w:t>s</w:t>
      </w:r>
      <w:r w:rsidR="005A24DC">
        <w:t>, and there are few experts available with the expertise of Thea.</w:t>
      </w:r>
      <w:r>
        <w:t xml:space="preserve"> </w:t>
      </w:r>
      <w:r w:rsidR="005A24DC">
        <w:t xml:space="preserve">It is therefore possible that support from the operations travel budget may be needed for </w:t>
      </w:r>
      <w:r w:rsidR="00324E7E">
        <w:t>him</w:t>
      </w:r>
      <w:r w:rsidR="005A24DC">
        <w:t xml:space="preserve"> in future, but this will become clearer only with time.</w:t>
      </w:r>
    </w:p>
    <w:p w14:paraId="01D76BD7" w14:textId="77777777" w:rsidR="00E616A6" w:rsidRPr="00FD774B" w:rsidRDefault="00E616A6" w:rsidP="00124B60">
      <w:pPr>
        <w:pStyle w:val="ListParagraph"/>
      </w:pPr>
    </w:p>
    <w:p w14:paraId="4050D705" w14:textId="77777777" w:rsidR="00230ACA" w:rsidRPr="00CF2C46" w:rsidRDefault="00230ACA" w:rsidP="00CF2C46">
      <w:pPr>
        <w:pStyle w:val="ListNumber"/>
      </w:pPr>
      <w:r w:rsidRPr="00CF2C46">
        <w:t>What threshold level of organisational responsibility within international-CMS (e.g. physics group convenor) has been required when proposing those LTAs which are justified primarily by their physics analysis role? Please comment specifically on each RAL staff member.</w:t>
      </w:r>
    </w:p>
    <w:p w14:paraId="57F22996" w14:textId="47BB440A" w:rsidR="002752A2" w:rsidRDefault="002752A2" w:rsidP="002752A2">
      <w:pPr>
        <w:pStyle w:val="ListParagraph"/>
        <w:rPr>
          <w:lang w:val="en-US"/>
        </w:rPr>
      </w:pPr>
      <w:r>
        <w:rPr>
          <w:lang w:val="en-US"/>
        </w:rPr>
        <w:t xml:space="preserve">While it is correct that some past LTAs (e.g. Nikitenko, </w:t>
      </w:r>
      <w:proofErr w:type="spellStart"/>
      <w:r>
        <w:rPr>
          <w:lang w:val="en-US"/>
        </w:rPr>
        <w:t>Seez</w:t>
      </w:r>
      <w:proofErr w:type="spellEnd"/>
      <w:r>
        <w:rPr>
          <w:lang w:val="en-US"/>
        </w:rPr>
        <w:t xml:space="preserve">, Tapper) and future (e.g. Bainbridge, Nikitenko) have been driven by physics </w:t>
      </w:r>
      <w:proofErr w:type="spellStart"/>
      <w:r>
        <w:rPr>
          <w:lang w:val="en-US"/>
        </w:rPr>
        <w:t>convenorships</w:t>
      </w:r>
      <w:proofErr w:type="spellEnd"/>
      <w:r>
        <w:rPr>
          <w:lang w:val="en-US"/>
        </w:rPr>
        <w:t xml:space="preserve"> the majority are to support detector activities, making critical contributions to the overall success of CMS (e.g. Fulcher, Iles, Petyt</w:t>
      </w:r>
      <w:r w:rsidR="00393A1E">
        <w:rPr>
          <w:lang w:val="en-US"/>
        </w:rPr>
        <w:t>, Bell</w:t>
      </w:r>
      <w:r>
        <w:rPr>
          <w:lang w:val="en-US"/>
        </w:rPr>
        <w:t xml:space="preserve">). Though the UK is only a small fraction of CMS we have responsibility for several key activities. In addition the majority of the other LTAs (e.g. </w:t>
      </w:r>
      <w:r>
        <w:rPr>
          <w:lang w:val="en-US"/>
        </w:rPr>
        <w:lastRenderedPageBreak/>
        <w:t>Harper, Magnan) are to enable individuals to make major contribution</w:t>
      </w:r>
      <w:r w:rsidR="003068BF">
        <w:rPr>
          <w:lang w:val="en-US"/>
        </w:rPr>
        <w:t>s to detector activities, while</w:t>
      </w:r>
      <w:r>
        <w:rPr>
          <w:lang w:val="en-US"/>
        </w:rPr>
        <w:t xml:space="preserve"> also leading, and being seen to lead, high priority physics channels.</w:t>
      </w:r>
    </w:p>
    <w:p w14:paraId="294EBD95" w14:textId="723D2A01" w:rsidR="005F343C" w:rsidRPr="005F343C" w:rsidRDefault="00AD5E11" w:rsidP="005F343C">
      <w:pPr>
        <w:pStyle w:val="ListParagraph"/>
        <w:rPr>
          <w:lang w:val="en-US"/>
        </w:rPr>
      </w:pPr>
      <w:r>
        <w:rPr>
          <w:lang w:val="en-US"/>
        </w:rPr>
        <w:t>The only RAL LTA who engages in physics analysis to a significant extent is Harper. He has fill</w:t>
      </w:r>
      <w:r w:rsidR="00810DE4">
        <w:rPr>
          <w:lang w:val="en-US"/>
        </w:rPr>
        <w:t>ed various roles over the years, most recently including</w:t>
      </w:r>
      <w:r>
        <w:rPr>
          <w:lang w:val="en-US"/>
        </w:rPr>
        <w:t xml:space="preserve"> CMS Exotics Trigger Convenor, CMS Exotica Physics Analysis Group: Convenor Exotic Resonances Group, CMS E/gamma Physics Objec</w:t>
      </w:r>
      <w:r w:rsidR="00810DE4">
        <w:rPr>
          <w:lang w:val="en-US"/>
        </w:rPr>
        <w:t>t Group Trigger Coordinator. These are all roles</w:t>
      </w:r>
      <w:r>
        <w:rPr>
          <w:lang w:val="en-US"/>
        </w:rPr>
        <w:t xml:space="preserve"> which attract si</w:t>
      </w:r>
      <w:r w:rsidR="00810DE4">
        <w:rPr>
          <w:lang w:val="en-US"/>
        </w:rPr>
        <w:t xml:space="preserve">gnificant pressure to deliver. </w:t>
      </w:r>
      <w:r>
        <w:rPr>
          <w:lang w:val="en-US"/>
        </w:rPr>
        <w:t>His primary analysis activity is on the search for Z’ bosons, which is high profile and will be one of the first analysis at 13 TeV where the sensitivity will exceed the current level. RAL leads this analysis and his presence at CERN is required for this to be effective.</w:t>
      </w:r>
      <w:r w:rsidR="005F343C">
        <w:rPr>
          <w:lang w:val="en-US"/>
        </w:rPr>
        <w:t xml:space="preserve"> </w:t>
      </w:r>
      <w:r w:rsidR="005F343C" w:rsidRPr="005F343C">
        <w:rPr>
          <w:lang w:val="en-US"/>
        </w:rPr>
        <w:t>Actually most of his time has been spent on HLT (e/gamma and Exotics) and e/</w:t>
      </w:r>
      <w:r w:rsidR="005F343C">
        <w:rPr>
          <w:lang w:val="en-US"/>
        </w:rPr>
        <w:t>gamma reconstruction activities, which are not considered as physics analysis.</w:t>
      </w:r>
    </w:p>
    <w:p w14:paraId="6DBC76CA" w14:textId="77777777" w:rsidR="00113765" w:rsidRPr="00763708" w:rsidRDefault="00113765" w:rsidP="00AD5E11">
      <w:pPr>
        <w:pStyle w:val="ListParagraph"/>
        <w:rPr>
          <w:color w:val="FF0000"/>
        </w:rPr>
      </w:pPr>
    </w:p>
    <w:p w14:paraId="59D3ED2A" w14:textId="77777777" w:rsidR="001817D2" w:rsidRDefault="00230ACA" w:rsidP="00CF2C46">
      <w:pPr>
        <w:pStyle w:val="ListNumber"/>
      </w:pPr>
      <w:r w:rsidRPr="00AA3BE0">
        <w:t>Please give the fractions of RAL staff who will be working on combined operations plus exploitation for each year.</w:t>
      </w:r>
    </w:p>
    <w:p w14:paraId="1C760D80" w14:textId="77777777" w:rsidR="001817D2" w:rsidRDefault="001817D2" w:rsidP="001817D2">
      <w:pPr>
        <w:pStyle w:val="ListNumber"/>
        <w:numPr>
          <w:ilvl w:val="0"/>
          <w:numId w:val="0"/>
        </w:numPr>
        <w:ind w:left="357"/>
      </w:pPr>
    </w:p>
    <w:tbl>
      <w:tblPr>
        <w:tblW w:w="9285" w:type="dxa"/>
        <w:tblInd w:w="93" w:type="dxa"/>
        <w:tblLook w:val="04A0" w:firstRow="1" w:lastRow="0" w:firstColumn="1" w:lastColumn="0" w:noHBand="0" w:noVBand="1"/>
      </w:tblPr>
      <w:tblGrid>
        <w:gridCol w:w="463"/>
        <w:gridCol w:w="1099"/>
        <w:gridCol w:w="937"/>
        <w:gridCol w:w="914"/>
        <w:gridCol w:w="1005"/>
        <w:gridCol w:w="914"/>
        <w:gridCol w:w="1048"/>
        <w:gridCol w:w="914"/>
        <w:gridCol w:w="1077"/>
        <w:gridCol w:w="914"/>
      </w:tblGrid>
      <w:tr w:rsidR="001817D2" w:rsidRPr="001817D2" w14:paraId="16BE4B27" w14:textId="77777777" w:rsidTr="00E630F0">
        <w:trPr>
          <w:trHeight w:val="260"/>
        </w:trPr>
        <w:tc>
          <w:tcPr>
            <w:tcW w:w="463" w:type="dxa"/>
            <w:tcBorders>
              <w:top w:val="nil"/>
              <w:left w:val="nil"/>
              <w:bottom w:val="nil"/>
              <w:right w:val="nil"/>
            </w:tcBorders>
            <w:shd w:val="clear" w:color="auto" w:fill="auto"/>
            <w:noWrap/>
            <w:vAlign w:val="bottom"/>
            <w:hideMark/>
          </w:tcPr>
          <w:p w14:paraId="32938D91"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1099" w:type="dxa"/>
            <w:tcBorders>
              <w:top w:val="nil"/>
              <w:left w:val="nil"/>
              <w:bottom w:val="nil"/>
              <w:right w:val="nil"/>
            </w:tcBorders>
            <w:shd w:val="clear" w:color="auto" w:fill="auto"/>
            <w:noWrap/>
            <w:vAlign w:val="bottom"/>
            <w:hideMark/>
          </w:tcPr>
          <w:p w14:paraId="61AAB067"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1851" w:type="dxa"/>
            <w:gridSpan w:val="2"/>
            <w:tcBorders>
              <w:top w:val="nil"/>
              <w:left w:val="single" w:sz="4" w:space="0" w:color="auto"/>
              <w:bottom w:val="nil"/>
              <w:right w:val="single" w:sz="4" w:space="0" w:color="auto"/>
            </w:tcBorders>
            <w:shd w:val="clear" w:color="auto" w:fill="auto"/>
            <w:noWrap/>
            <w:vAlign w:val="bottom"/>
            <w:hideMark/>
          </w:tcPr>
          <w:p w14:paraId="2E4AAAF5" w14:textId="22A7CC52"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2015/2016</w:t>
            </w:r>
          </w:p>
        </w:tc>
        <w:tc>
          <w:tcPr>
            <w:tcW w:w="1919" w:type="dxa"/>
            <w:gridSpan w:val="2"/>
            <w:tcBorders>
              <w:top w:val="nil"/>
              <w:left w:val="nil"/>
              <w:bottom w:val="nil"/>
              <w:right w:val="single" w:sz="4" w:space="0" w:color="auto"/>
            </w:tcBorders>
            <w:shd w:val="clear" w:color="auto" w:fill="auto"/>
            <w:noWrap/>
            <w:vAlign w:val="bottom"/>
            <w:hideMark/>
          </w:tcPr>
          <w:p w14:paraId="21BC27AA" w14:textId="66174B7D"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2016/2017</w:t>
            </w:r>
          </w:p>
        </w:tc>
        <w:tc>
          <w:tcPr>
            <w:tcW w:w="1962" w:type="dxa"/>
            <w:gridSpan w:val="2"/>
            <w:tcBorders>
              <w:top w:val="nil"/>
              <w:left w:val="single" w:sz="4" w:space="0" w:color="auto"/>
              <w:bottom w:val="nil"/>
              <w:right w:val="single" w:sz="4" w:space="0" w:color="auto"/>
            </w:tcBorders>
            <w:shd w:val="clear" w:color="auto" w:fill="auto"/>
            <w:noWrap/>
            <w:vAlign w:val="bottom"/>
            <w:hideMark/>
          </w:tcPr>
          <w:p w14:paraId="25C25DF3" w14:textId="0AAD71A1"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2017/2018</w:t>
            </w:r>
          </w:p>
        </w:tc>
        <w:tc>
          <w:tcPr>
            <w:tcW w:w="1991" w:type="dxa"/>
            <w:gridSpan w:val="2"/>
            <w:tcBorders>
              <w:top w:val="nil"/>
              <w:left w:val="single" w:sz="4" w:space="0" w:color="auto"/>
              <w:bottom w:val="nil"/>
              <w:right w:val="single" w:sz="4" w:space="0" w:color="auto"/>
            </w:tcBorders>
            <w:shd w:val="clear" w:color="auto" w:fill="auto"/>
            <w:noWrap/>
            <w:vAlign w:val="bottom"/>
            <w:hideMark/>
          </w:tcPr>
          <w:p w14:paraId="4F735630" w14:textId="75B2C7C4"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2018/2019</w:t>
            </w:r>
          </w:p>
        </w:tc>
      </w:tr>
      <w:tr w:rsidR="001817D2" w:rsidRPr="001817D2" w14:paraId="5D540854" w14:textId="77777777" w:rsidTr="00E630F0">
        <w:trPr>
          <w:trHeight w:val="280"/>
        </w:trPr>
        <w:tc>
          <w:tcPr>
            <w:tcW w:w="463" w:type="dxa"/>
            <w:tcBorders>
              <w:top w:val="nil"/>
              <w:left w:val="nil"/>
              <w:bottom w:val="nil"/>
              <w:right w:val="nil"/>
            </w:tcBorders>
            <w:shd w:val="clear" w:color="auto" w:fill="auto"/>
            <w:noWrap/>
            <w:vAlign w:val="bottom"/>
            <w:hideMark/>
          </w:tcPr>
          <w:p w14:paraId="1D55D73C"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1099" w:type="dxa"/>
            <w:tcBorders>
              <w:top w:val="nil"/>
              <w:left w:val="nil"/>
              <w:bottom w:val="double" w:sz="6" w:space="0" w:color="auto"/>
              <w:right w:val="nil"/>
            </w:tcBorders>
            <w:shd w:val="clear" w:color="auto" w:fill="auto"/>
            <w:noWrap/>
            <w:vAlign w:val="bottom"/>
            <w:hideMark/>
          </w:tcPr>
          <w:p w14:paraId="012ED7E4"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937" w:type="dxa"/>
            <w:tcBorders>
              <w:top w:val="nil"/>
              <w:left w:val="single" w:sz="4" w:space="0" w:color="auto"/>
              <w:bottom w:val="double" w:sz="6" w:space="0" w:color="auto"/>
              <w:right w:val="nil"/>
            </w:tcBorders>
            <w:shd w:val="clear" w:color="auto" w:fill="auto"/>
            <w:noWrap/>
            <w:vAlign w:val="bottom"/>
            <w:hideMark/>
          </w:tcPr>
          <w:p w14:paraId="7D1CF70D"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Ops + Exploit</w:t>
            </w:r>
          </w:p>
        </w:tc>
        <w:tc>
          <w:tcPr>
            <w:tcW w:w="914" w:type="dxa"/>
            <w:tcBorders>
              <w:top w:val="nil"/>
              <w:left w:val="nil"/>
              <w:right w:val="single" w:sz="4" w:space="0" w:color="auto"/>
            </w:tcBorders>
            <w:shd w:val="clear" w:color="auto" w:fill="auto"/>
            <w:noWrap/>
            <w:vAlign w:val="bottom"/>
            <w:hideMark/>
          </w:tcPr>
          <w:p w14:paraId="5B3EBAE3"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Upgrade</w:t>
            </w:r>
          </w:p>
        </w:tc>
        <w:tc>
          <w:tcPr>
            <w:tcW w:w="1005" w:type="dxa"/>
            <w:tcBorders>
              <w:top w:val="nil"/>
              <w:left w:val="single" w:sz="4" w:space="0" w:color="auto"/>
              <w:bottom w:val="double" w:sz="4" w:space="0" w:color="auto"/>
              <w:right w:val="nil"/>
            </w:tcBorders>
            <w:shd w:val="clear" w:color="auto" w:fill="auto"/>
            <w:noWrap/>
            <w:vAlign w:val="bottom"/>
            <w:hideMark/>
          </w:tcPr>
          <w:p w14:paraId="109483F0"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Ops + Exploit</w:t>
            </w:r>
          </w:p>
        </w:tc>
        <w:tc>
          <w:tcPr>
            <w:tcW w:w="914" w:type="dxa"/>
            <w:tcBorders>
              <w:top w:val="nil"/>
              <w:left w:val="nil"/>
              <w:bottom w:val="double" w:sz="4" w:space="0" w:color="auto"/>
              <w:right w:val="single" w:sz="4" w:space="0" w:color="auto"/>
            </w:tcBorders>
            <w:shd w:val="clear" w:color="auto" w:fill="auto"/>
            <w:noWrap/>
            <w:vAlign w:val="bottom"/>
            <w:hideMark/>
          </w:tcPr>
          <w:p w14:paraId="2C965020" w14:textId="78B40D91" w:rsidR="001817D2" w:rsidRPr="001817D2" w:rsidRDefault="00393A1E"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Upgrade</w:t>
            </w:r>
          </w:p>
        </w:tc>
        <w:tc>
          <w:tcPr>
            <w:tcW w:w="1048" w:type="dxa"/>
            <w:tcBorders>
              <w:top w:val="nil"/>
              <w:left w:val="single" w:sz="4" w:space="0" w:color="auto"/>
              <w:bottom w:val="double" w:sz="6" w:space="0" w:color="auto"/>
              <w:right w:val="nil"/>
            </w:tcBorders>
            <w:shd w:val="clear" w:color="auto" w:fill="auto"/>
            <w:noWrap/>
            <w:vAlign w:val="bottom"/>
            <w:hideMark/>
          </w:tcPr>
          <w:p w14:paraId="1D8CAF79"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Ops + Exploit</w:t>
            </w:r>
          </w:p>
        </w:tc>
        <w:tc>
          <w:tcPr>
            <w:tcW w:w="914" w:type="dxa"/>
            <w:tcBorders>
              <w:top w:val="nil"/>
              <w:left w:val="nil"/>
              <w:bottom w:val="double" w:sz="6" w:space="0" w:color="auto"/>
              <w:right w:val="single" w:sz="4" w:space="0" w:color="auto"/>
            </w:tcBorders>
            <w:shd w:val="clear" w:color="auto" w:fill="auto"/>
            <w:noWrap/>
            <w:vAlign w:val="bottom"/>
            <w:hideMark/>
          </w:tcPr>
          <w:p w14:paraId="39347240"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Upgrade</w:t>
            </w:r>
          </w:p>
        </w:tc>
        <w:tc>
          <w:tcPr>
            <w:tcW w:w="1077" w:type="dxa"/>
            <w:tcBorders>
              <w:top w:val="nil"/>
              <w:left w:val="single" w:sz="4" w:space="0" w:color="auto"/>
              <w:bottom w:val="double" w:sz="6" w:space="0" w:color="auto"/>
              <w:right w:val="nil"/>
            </w:tcBorders>
            <w:shd w:val="clear" w:color="auto" w:fill="auto"/>
            <w:noWrap/>
            <w:vAlign w:val="bottom"/>
            <w:hideMark/>
          </w:tcPr>
          <w:p w14:paraId="2C0FCB0E"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Ops + Exploit</w:t>
            </w:r>
          </w:p>
        </w:tc>
        <w:tc>
          <w:tcPr>
            <w:tcW w:w="914" w:type="dxa"/>
            <w:tcBorders>
              <w:top w:val="nil"/>
              <w:left w:val="nil"/>
              <w:bottom w:val="double" w:sz="6" w:space="0" w:color="auto"/>
              <w:right w:val="single" w:sz="4" w:space="0" w:color="auto"/>
            </w:tcBorders>
            <w:shd w:val="clear" w:color="auto" w:fill="auto"/>
            <w:noWrap/>
            <w:vAlign w:val="bottom"/>
            <w:hideMark/>
          </w:tcPr>
          <w:p w14:paraId="74EDAEB3"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Upgrade</w:t>
            </w:r>
          </w:p>
        </w:tc>
      </w:tr>
      <w:tr w:rsidR="001817D2" w:rsidRPr="001817D2" w14:paraId="379BB024" w14:textId="77777777" w:rsidTr="00E630F0">
        <w:trPr>
          <w:trHeight w:val="300"/>
        </w:trPr>
        <w:tc>
          <w:tcPr>
            <w:tcW w:w="463" w:type="dxa"/>
            <w:tcBorders>
              <w:top w:val="nil"/>
              <w:left w:val="nil"/>
              <w:bottom w:val="nil"/>
              <w:right w:val="nil"/>
            </w:tcBorders>
            <w:shd w:val="clear" w:color="auto" w:fill="auto"/>
            <w:noWrap/>
            <w:vAlign w:val="bottom"/>
            <w:hideMark/>
          </w:tcPr>
          <w:p w14:paraId="12C6B74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99" w:type="dxa"/>
            <w:tcBorders>
              <w:top w:val="nil"/>
              <w:left w:val="nil"/>
              <w:bottom w:val="nil"/>
              <w:right w:val="single" w:sz="12" w:space="0" w:color="auto"/>
            </w:tcBorders>
            <w:shd w:val="clear" w:color="auto" w:fill="auto"/>
            <w:noWrap/>
            <w:vAlign w:val="bottom"/>
            <w:hideMark/>
          </w:tcPr>
          <w:p w14:paraId="6C725F22"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Shepherd</w:t>
            </w:r>
          </w:p>
        </w:tc>
        <w:tc>
          <w:tcPr>
            <w:tcW w:w="937" w:type="dxa"/>
            <w:tcBorders>
              <w:top w:val="nil"/>
              <w:left w:val="nil"/>
              <w:bottom w:val="nil"/>
              <w:right w:val="nil"/>
            </w:tcBorders>
            <w:shd w:val="clear" w:color="auto" w:fill="auto"/>
            <w:noWrap/>
            <w:vAlign w:val="bottom"/>
            <w:hideMark/>
          </w:tcPr>
          <w:p w14:paraId="7AB87F9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0.6</w:t>
            </w:r>
          </w:p>
        </w:tc>
        <w:tc>
          <w:tcPr>
            <w:tcW w:w="914" w:type="dxa"/>
            <w:tcBorders>
              <w:top w:val="double" w:sz="4" w:space="0" w:color="auto"/>
              <w:left w:val="nil"/>
              <w:bottom w:val="nil"/>
              <w:right w:val="single" w:sz="12" w:space="0" w:color="auto"/>
            </w:tcBorders>
            <w:shd w:val="clear" w:color="auto" w:fill="auto"/>
            <w:noWrap/>
            <w:vAlign w:val="bottom"/>
            <w:hideMark/>
          </w:tcPr>
          <w:p w14:paraId="130438A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c>
          <w:tcPr>
            <w:tcW w:w="1005" w:type="dxa"/>
            <w:tcBorders>
              <w:top w:val="double" w:sz="4" w:space="0" w:color="auto"/>
              <w:left w:val="nil"/>
              <w:bottom w:val="nil"/>
              <w:right w:val="nil"/>
            </w:tcBorders>
            <w:shd w:val="clear" w:color="auto" w:fill="auto"/>
            <w:noWrap/>
            <w:vAlign w:val="bottom"/>
            <w:hideMark/>
          </w:tcPr>
          <w:p w14:paraId="23FDFBF8"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61B80D6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c>
          <w:tcPr>
            <w:tcW w:w="1048" w:type="dxa"/>
            <w:tcBorders>
              <w:top w:val="nil"/>
              <w:left w:val="nil"/>
              <w:bottom w:val="nil"/>
              <w:right w:val="nil"/>
            </w:tcBorders>
            <w:shd w:val="clear" w:color="auto" w:fill="auto"/>
            <w:noWrap/>
            <w:vAlign w:val="bottom"/>
            <w:hideMark/>
          </w:tcPr>
          <w:p w14:paraId="6CE6AD4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6892C24D"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c>
          <w:tcPr>
            <w:tcW w:w="1077" w:type="dxa"/>
            <w:tcBorders>
              <w:top w:val="nil"/>
              <w:left w:val="nil"/>
              <w:bottom w:val="nil"/>
              <w:right w:val="nil"/>
            </w:tcBorders>
            <w:shd w:val="clear" w:color="auto" w:fill="auto"/>
            <w:noWrap/>
            <w:vAlign w:val="bottom"/>
            <w:hideMark/>
          </w:tcPr>
          <w:p w14:paraId="6134FCAE"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0.6</w:t>
            </w:r>
          </w:p>
        </w:tc>
        <w:tc>
          <w:tcPr>
            <w:tcW w:w="914" w:type="dxa"/>
            <w:tcBorders>
              <w:top w:val="double" w:sz="6" w:space="0" w:color="auto"/>
              <w:left w:val="nil"/>
              <w:bottom w:val="nil"/>
              <w:right w:val="single" w:sz="4" w:space="0" w:color="auto"/>
            </w:tcBorders>
            <w:shd w:val="clear" w:color="auto" w:fill="auto"/>
            <w:noWrap/>
            <w:vAlign w:val="bottom"/>
            <w:hideMark/>
          </w:tcPr>
          <w:p w14:paraId="48CE90F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r>
      <w:tr w:rsidR="001817D2" w:rsidRPr="001817D2" w14:paraId="66884C3C" w14:textId="77777777" w:rsidTr="00E630F0">
        <w:trPr>
          <w:trHeight w:val="300"/>
        </w:trPr>
        <w:tc>
          <w:tcPr>
            <w:tcW w:w="463" w:type="dxa"/>
            <w:tcBorders>
              <w:top w:val="nil"/>
              <w:left w:val="nil"/>
              <w:bottom w:val="nil"/>
              <w:right w:val="nil"/>
            </w:tcBorders>
            <w:shd w:val="clear" w:color="auto" w:fill="auto"/>
            <w:noWrap/>
            <w:vAlign w:val="bottom"/>
            <w:hideMark/>
          </w:tcPr>
          <w:p w14:paraId="6AC1243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2</w:t>
            </w:r>
          </w:p>
        </w:tc>
        <w:tc>
          <w:tcPr>
            <w:tcW w:w="1099" w:type="dxa"/>
            <w:tcBorders>
              <w:top w:val="nil"/>
              <w:left w:val="nil"/>
              <w:bottom w:val="nil"/>
              <w:right w:val="single" w:sz="12" w:space="0" w:color="auto"/>
            </w:tcBorders>
            <w:shd w:val="clear" w:color="auto" w:fill="auto"/>
            <w:noWrap/>
            <w:vAlign w:val="bottom"/>
            <w:hideMark/>
          </w:tcPr>
          <w:p w14:paraId="0E96B18A"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Tomalin</w:t>
            </w:r>
          </w:p>
        </w:tc>
        <w:tc>
          <w:tcPr>
            <w:tcW w:w="937" w:type="dxa"/>
            <w:tcBorders>
              <w:top w:val="nil"/>
              <w:left w:val="nil"/>
              <w:bottom w:val="nil"/>
              <w:right w:val="nil"/>
            </w:tcBorders>
            <w:shd w:val="clear" w:color="auto" w:fill="auto"/>
            <w:noWrap/>
            <w:vAlign w:val="bottom"/>
            <w:hideMark/>
          </w:tcPr>
          <w:p w14:paraId="4625BC05"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0.8</w:t>
            </w:r>
          </w:p>
        </w:tc>
        <w:tc>
          <w:tcPr>
            <w:tcW w:w="914" w:type="dxa"/>
            <w:tcBorders>
              <w:top w:val="nil"/>
              <w:left w:val="nil"/>
              <w:bottom w:val="nil"/>
              <w:right w:val="single" w:sz="12" w:space="0" w:color="auto"/>
            </w:tcBorders>
            <w:shd w:val="clear" w:color="auto" w:fill="auto"/>
            <w:noWrap/>
            <w:vAlign w:val="bottom"/>
            <w:hideMark/>
          </w:tcPr>
          <w:p w14:paraId="30AAF13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c>
          <w:tcPr>
            <w:tcW w:w="1005" w:type="dxa"/>
            <w:tcBorders>
              <w:top w:val="nil"/>
              <w:left w:val="nil"/>
              <w:bottom w:val="nil"/>
              <w:right w:val="nil"/>
            </w:tcBorders>
            <w:shd w:val="clear" w:color="auto" w:fill="auto"/>
            <w:noWrap/>
            <w:vAlign w:val="bottom"/>
            <w:hideMark/>
          </w:tcPr>
          <w:p w14:paraId="28F3DBC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0.7</w:t>
            </w:r>
          </w:p>
        </w:tc>
        <w:tc>
          <w:tcPr>
            <w:tcW w:w="914" w:type="dxa"/>
            <w:tcBorders>
              <w:top w:val="nil"/>
              <w:left w:val="nil"/>
              <w:bottom w:val="nil"/>
              <w:right w:val="single" w:sz="12" w:space="0" w:color="auto"/>
            </w:tcBorders>
            <w:shd w:val="clear" w:color="auto" w:fill="auto"/>
            <w:noWrap/>
            <w:vAlign w:val="bottom"/>
            <w:hideMark/>
          </w:tcPr>
          <w:p w14:paraId="2E4398F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c>
          <w:tcPr>
            <w:tcW w:w="1048" w:type="dxa"/>
            <w:tcBorders>
              <w:top w:val="nil"/>
              <w:left w:val="nil"/>
              <w:bottom w:val="nil"/>
              <w:right w:val="nil"/>
            </w:tcBorders>
            <w:shd w:val="clear" w:color="auto" w:fill="auto"/>
            <w:noWrap/>
            <w:vAlign w:val="bottom"/>
            <w:hideMark/>
          </w:tcPr>
          <w:p w14:paraId="724F371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0.7</w:t>
            </w:r>
          </w:p>
        </w:tc>
        <w:tc>
          <w:tcPr>
            <w:tcW w:w="914" w:type="dxa"/>
            <w:tcBorders>
              <w:top w:val="nil"/>
              <w:left w:val="nil"/>
              <w:bottom w:val="nil"/>
              <w:right w:val="single" w:sz="12" w:space="0" w:color="auto"/>
            </w:tcBorders>
            <w:shd w:val="clear" w:color="auto" w:fill="auto"/>
            <w:noWrap/>
            <w:vAlign w:val="bottom"/>
            <w:hideMark/>
          </w:tcPr>
          <w:p w14:paraId="6401F3AD"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c>
          <w:tcPr>
            <w:tcW w:w="1077" w:type="dxa"/>
            <w:tcBorders>
              <w:top w:val="nil"/>
              <w:left w:val="nil"/>
              <w:bottom w:val="nil"/>
              <w:right w:val="nil"/>
            </w:tcBorders>
            <w:shd w:val="clear" w:color="auto" w:fill="auto"/>
            <w:noWrap/>
            <w:vAlign w:val="bottom"/>
            <w:hideMark/>
          </w:tcPr>
          <w:p w14:paraId="39EE313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0.7</w:t>
            </w:r>
          </w:p>
        </w:tc>
        <w:tc>
          <w:tcPr>
            <w:tcW w:w="914" w:type="dxa"/>
            <w:tcBorders>
              <w:top w:val="nil"/>
              <w:left w:val="nil"/>
              <w:bottom w:val="nil"/>
              <w:right w:val="single" w:sz="4" w:space="0" w:color="auto"/>
            </w:tcBorders>
            <w:shd w:val="clear" w:color="auto" w:fill="auto"/>
            <w:noWrap/>
            <w:vAlign w:val="bottom"/>
            <w:hideMark/>
          </w:tcPr>
          <w:p w14:paraId="01E26D50"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r>
      <w:tr w:rsidR="001817D2" w:rsidRPr="001817D2" w14:paraId="17BCB7AC" w14:textId="77777777" w:rsidTr="00E630F0">
        <w:trPr>
          <w:trHeight w:val="300"/>
        </w:trPr>
        <w:tc>
          <w:tcPr>
            <w:tcW w:w="463" w:type="dxa"/>
            <w:tcBorders>
              <w:top w:val="nil"/>
              <w:left w:val="nil"/>
              <w:bottom w:val="nil"/>
              <w:right w:val="nil"/>
            </w:tcBorders>
            <w:shd w:val="clear" w:color="auto" w:fill="auto"/>
            <w:noWrap/>
            <w:vAlign w:val="bottom"/>
            <w:hideMark/>
          </w:tcPr>
          <w:p w14:paraId="15E1802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3</w:t>
            </w:r>
          </w:p>
        </w:tc>
        <w:tc>
          <w:tcPr>
            <w:tcW w:w="1099" w:type="dxa"/>
            <w:tcBorders>
              <w:top w:val="nil"/>
              <w:left w:val="nil"/>
              <w:bottom w:val="nil"/>
              <w:right w:val="single" w:sz="12" w:space="0" w:color="auto"/>
            </w:tcBorders>
            <w:shd w:val="clear" w:color="auto" w:fill="auto"/>
            <w:noWrap/>
            <w:vAlign w:val="bottom"/>
            <w:hideMark/>
          </w:tcPr>
          <w:p w14:paraId="06FE274C"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Cockerill</w:t>
            </w:r>
          </w:p>
        </w:tc>
        <w:tc>
          <w:tcPr>
            <w:tcW w:w="937" w:type="dxa"/>
            <w:tcBorders>
              <w:top w:val="nil"/>
              <w:left w:val="nil"/>
              <w:bottom w:val="nil"/>
              <w:right w:val="nil"/>
            </w:tcBorders>
            <w:shd w:val="clear" w:color="auto" w:fill="auto"/>
            <w:noWrap/>
            <w:vAlign w:val="bottom"/>
            <w:hideMark/>
          </w:tcPr>
          <w:p w14:paraId="5F363AE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3E7E2414"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05" w:type="dxa"/>
            <w:tcBorders>
              <w:top w:val="nil"/>
              <w:left w:val="nil"/>
              <w:bottom w:val="nil"/>
              <w:right w:val="nil"/>
            </w:tcBorders>
            <w:shd w:val="clear" w:color="auto" w:fill="auto"/>
            <w:noWrap/>
            <w:vAlign w:val="bottom"/>
            <w:hideMark/>
          </w:tcPr>
          <w:p w14:paraId="083AF8A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5961A290"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48" w:type="dxa"/>
            <w:tcBorders>
              <w:top w:val="nil"/>
              <w:left w:val="nil"/>
              <w:bottom w:val="nil"/>
              <w:right w:val="nil"/>
            </w:tcBorders>
            <w:shd w:val="clear" w:color="auto" w:fill="auto"/>
            <w:noWrap/>
            <w:vAlign w:val="bottom"/>
            <w:hideMark/>
          </w:tcPr>
          <w:p w14:paraId="11A6593D"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35BA345B"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77" w:type="dxa"/>
            <w:tcBorders>
              <w:top w:val="nil"/>
              <w:left w:val="nil"/>
              <w:bottom w:val="nil"/>
              <w:right w:val="nil"/>
            </w:tcBorders>
            <w:shd w:val="clear" w:color="auto" w:fill="auto"/>
            <w:noWrap/>
            <w:vAlign w:val="bottom"/>
            <w:hideMark/>
          </w:tcPr>
          <w:p w14:paraId="43774D91"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4" w:space="0" w:color="auto"/>
            </w:tcBorders>
            <w:shd w:val="clear" w:color="auto" w:fill="auto"/>
            <w:noWrap/>
            <w:vAlign w:val="bottom"/>
            <w:hideMark/>
          </w:tcPr>
          <w:p w14:paraId="52E78A97" w14:textId="77777777" w:rsidR="001817D2" w:rsidRPr="001817D2" w:rsidRDefault="001817D2" w:rsidP="001817D2">
            <w:pPr>
              <w:spacing w:after="0" w:line="240" w:lineRule="auto"/>
              <w:rPr>
                <w:rFonts w:asciiTheme="majorHAnsi" w:eastAsia="Times New Roman" w:hAnsiTheme="majorHAnsi"/>
                <w:color w:val="auto"/>
                <w:sz w:val="20"/>
                <w:szCs w:val="20"/>
              </w:rPr>
            </w:pPr>
          </w:p>
        </w:tc>
      </w:tr>
      <w:tr w:rsidR="001817D2" w:rsidRPr="001817D2" w14:paraId="1AEBE94C" w14:textId="77777777" w:rsidTr="00E630F0">
        <w:trPr>
          <w:trHeight w:val="300"/>
        </w:trPr>
        <w:tc>
          <w:tcPr>
            <w:tcW w:w="463" w:type="dxa"/>
            <w:tcBorders>
              <w:top w:val="nil"/>
              <w:left w:val="nil"/>
              <w:bottom w:val="nil"/>
              <w:right w:val="nil"/>
            </w:tcBorders>
            <w:shd w:val="clear" w:color="auto" w:fill="auto"/>
            <w:noWrap/>
            <w:vAlign w:val="bottom"/>
            <w:hideMark/>
          </w:tcPr>
          <w:p w14:paraId="3DDEFBC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4</w:t>
            </w:r>
          </w:p>
        </w:tc>
        <w:tc>
          <w:tcPr>
            <w:tcW w:w="1099" w:type="dxa"/>
            <w:tcBorders>
              <w:top w:val="nil"/>
              <w:left w:val="nil"/>
              <w:bottom w:val="nil"/>
              <w:right w:val="single" w:sz="12" w:space="0" w:color="auto"/>
            </w:tcBorders>
            <w:shd w:val="clear" w:color="auto" w:fill="auto"/>
            <w:noWrap/>
            <w:vAlign w:val="bottom"/>
            <w:hideMark/>
          </w:tcPr>
          <w:p w14:paraId="2E6DE746"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Bell</w:t>
            </w:r>
          </w:p>
        </w:tc>
        <w:tc>
          <w:tcPr>
            <w:tcW w:w="937" w:type="dxa"/>
            <w:tcBorders>
              <w:top w:val="nil"/>
              <w:left w:val="nil"/>
              <w:bottom w:val="nil"/>
              <w:right w:val="nil"/>
            </w:tcBorders>
            <w:shd w:val="clear" w:color="auto" w:fill="auto"/>
            <w:noWrap/>
            <w:vAlign w:val="bottom"/>
            <w:hideMark/>
          </w:tcPr>
          <w:p w14:paraId="494E241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0.75</w:t>
            </w:r>
          </w:p>
        </w:tc>
        <w:tc>
          <w:tcPr>
            <w:tcW w:w="914" w:type="dxa"/>
            <w:tcBorders>
              <w:top w:val="nil"/>
              <w:left w:val="nil"/>
              <w:bottom w:val="nil"/>
              <w:right w:val="single" w:sz="12" w:space="0" w:color="auto"/>
            </w:tcBorders>
            <w:shd w:val="clear" w:color="auto" w:fill="auto"/>
            <w:noWrap/>
            <w:vAlign w:val="bottom"/>
            <w:hideMark/>
          </w:tcPr>
          <w:p w14:paraId="55CAB6DB"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05" w:type="dxa"/>
            <w:tcBorders>
              <w:top w:val="nil"/>
              <w:left w:val="nil"/>
              <w:bottom w:val="nil"/>
              <w:right w:val="nil"/>
            </w:tcBorders>
            <w:shd w:val="clear" w:color="auto" w:fill="auto"/>
            <w:noWrap/>
            <w:vAlign w:val="bottom"/>
            <w:hideMark/>
          </w:tcPr>
          <w:p w14:paraId="5CD5D41C"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12372D3C"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48" w:type="dxa"/>
            <w:tcBorders>
              <w:top w:val="nil"/>
              <w:left w:val="nil"/>
              <w:bottom w:val="nil"/>
              <w:right w:val="nil"/>
            </w:tcBorders>
            <w:shd w:val="clear" w:color="auto" w:fill="auto"/>
            <w:noWrap/>
            <w:vAlign w:val="bottom"/>
            <w:hideMark/>
          </w:tcPr>
          <w:p w14:paraId="69CF225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0.25</w:t>
            </w:r>
          </w:p>
        </w:tc>
        <w:tc>
          <w:tcPr>
            <w:tcW w:w="914" w:type="dxa"/>
            <w:tcBorders>
              <w:top w:val="nil"/>
              <w:left w:val="nil"/>
              <w:bottom w:val="nil"/>
              <w:right w:val="single" w:sz="12" w:space="0" w:color="auto"/>
            </w:tcBorders>
            <w:shd w:val="clear" w:color="auto" w:fill="auto"/>
            <w:noWrap/>
            <w:vAlign w:val="bottom"/>
            <w:hideMark/>
          </w:tcPr>
          <w:p w14:paraId="4A64A796"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77" w:type="dxa"/>
            <w:tcBorders>
              <w:top w:val="nil"/>
              <w:left w:val="nil"/>
              <w:bottom w:val="nil"/>
              <w:right w:val="nil"/>
            </w:tcBorders>
            <w:shd w:val="clear" w:color="auto" w:fill="auto"/>
            <w:noWrap/>
            <w:vAlign w:val="bottom"/>
            <w:hideMark/>
          </w:tcPr>
          <w:p w14:paraId="127E12BE"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4" w:space="0" w:color="auto"/>
            </w:tcBorders>
            <w:shd w:val="clear" w:color="auto" w:fill="auto"/>
            <w:noWrap/>
            <w:vAlign w:val="bottom"/>
            <w:hideMark/>
          </w:tcPr>
          <w:p w14:paraId="09A1B00F" w14:textId="77777777" w:rsidR="001817D2" w:rsidRPr="001817D2" w:rsidRDefault="001817D2" w:rsidP="001817D2">
            <w:pPr>
              <w:spacing w:after="0" w:line="240" w:lineRule="auto"/>
              <w:rPr>
                <w:rFonts w:asciiTheme="majorHAnsi" w:eastAsia="Times New Roman" w:hAnsiTheme="majorHAnsi"/>
                <w:color w:val="auto"/>
                <w:sz w:val="20"/>
                <w:szCs w:val="20"/>
              </w:rPr>
            </w:pPr>
          </w:p>
        </w:tc>
      </w:tr>
      <w:tr w:rsidR="001817D2" w:rsidRPr="001817D2" w14:paraId="40D85550" w14:textId="77777777" w:rsidTr="00E630F0">
        <w:trPr>
          <w:trHeight w:val="300"/>
        </w:trPr>
        <w:tc>
          <w:tcPr>
            <w:tcW w:w="463" w:type="dxa"/>
            <w:tcBorders>
              <w:top w:val="nil"/>
              <w:left w:val="nil"/>
              <w:bottom w:val="nil"/>
              <w:right w:val="nil"/>
            </w:tcBorders>
            <w:shd w:val="clear" w:color="auto" w:fill="auto"/>
            <w:noWrap/>
            <w:vAlign w:val="bottom"/>
            <w:hideMark/>
          </w:tcPr>
          <w:p w14:paraId="6761C4C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5</w:t>
            </w:r>
          </w:p>
        </w:tc>
        <w:tc>
          <w:tcPr>
            <w:tcW w:w="1099" w:type="dxa"/>
            <w:tcBorders>
              <w:top w:val="nil"/>
              <w:left w:val="nil"/>
              <w:bottom w:val="nil"/>
              <w:right w:val="single" w:sz="12" w:space="0" w:color="auto"/>
            </w:tcBorders>
            <w:shd w:val="clear" w:color="auto" w:fill="auto"/>
            <w:noWrap/>
            <w:vAlign w:val="bottom"/>
            <w:hideMark/>
          </w:tcPr>
          <w:p w14:paraId="2CC6DAAA"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Petyt</w:t>
            </w:r>
          </w:p>
        </w:tc>
        <w:tc>
          <w:tcPr>
            <w:tcW w:w="937" w:type="dxa"/>
            <w:tcBorders>
              <w:top w:val="nil"/>
              <w:left w:val="nil"/>
              <w:bottom w:val="nil"/>
              <w:right w:val="nil"/>
            </w:tcBorders>
            <w:shd w:val="clear" w:color="auto" w:fill="auto"/>
            <w:noWrap/>
            <w:vAlign w:val="bottom"/>
            <w:hideMark/>
          </w:tcPr>
          <w:p w14:paraId="63BF737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42BD6F8D"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05" w:type="dxa"/>
            <w:tcBorders>
              <w:top w:val="nil"/>
              <w:left w:val="nil"/>
              <w:bottom w:val="nil"/>
              <w:right w:val="nil"/>
            </w:tcBorders>
            <w:shd w:val="clear" w:color="auto" w:fill="auto"/>
            <w:noWrap/>
            <w:vAlign w:val="bottom"/>
            <w:hideMark/>
          </w:tcPr>
          <w:p w14:paraId="786D4D7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14418E86"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48" w:type="dxa"/>
            <w:tcBorders>
              <w:top w:val="nil"/>
              <w:left w:val="nil"/>
              <w:bottom w:val="nil"/>
              <w:right w:val="nil"/>
            </w:tcBorders>
            <w:shd w:val="clear" w:color="auto" w:fill="auto"/>
            <w:noWrap/>
            <w:vAlign w:val="bottom"/>
            <w:hideMark/>
          </w:tcPr>
          <w:p w14:paraId="3205587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0.7</w:t>
            </w:r>
          </w:p>
        </w:tc>
        <w:tc>
          <w:tcPr>
            <w:tcW w:w="914" w:type="dxa"/>
            <w:tcBorders>
              <w:top w:val="nil"/>
              <w:left w:val="nil"/>
              <w:bottom w:val="nil"/>
              <w:right w:val="single" w:sz="12" w:space="0" w:color="auto"/>
            </w:tcBorders>
            <w:shd w:val="clear" w:color="auto" w:fill="auto"/>
            <w:noWrap/>
            <w:vAlign w:val="bottom"/>
            <w:hideMark/>
          </w:tcPr>
          <w:p w14:paraId="121F800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c>
          <w:tcPr>
            <w:tcW w:w="1077" w:type="dxa"/>
            <w:tcBorders>
              <w:top w:val="nil"/>
              <w:left w:val="nil"/>
              <w:bottom w:val="nil"/>
              <w:right w:val="nil"/>
            </w:tcBorders>
            <w:shd w:val="clear" w:color="auto" w:fill="auto"/>
            <w:noWrap/>
            <w:vAlign w:val="bottom"/>
            <w:hideMark/>
          </w:tcPr>
          <w:p w14:paraId="5D7F929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0.7</w:t>
            </w:r>
          </w:p>
        </w:tc>
        <w:tc>
          <w:tcPr>
            <w:tcW w:w="914" w:type="dxa"/>
            <w:tcBorders>
              <w:top w:val="nil"/>
              <w:left w:val="nil"/>
              <w:bottom w:val="nil"/>
              <w:right w:val="single" w:sz="4" w:space="0" w:color="auto"/>
            </w:tcBorders>
            <w:shd w:val="clear" w:color="auto" w:fill="auto"/>
            <w:noWrap/>
            <w:vAlign w:val="bottom"/>
            <w:hideMark/>
          </w:tcPr>
          <w:p w14:paraId="022782F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r>
      <w:tr w:rsidR="001817D2" w:rsidRPr="001817D2" w14:paraId="77E9E3B9" w14:textId="77777777" w:rsidTr="00E630F0">
        <w:trPr>
          <w:trHeight w:val="300"/>
        </w:trPr>
        <w:tc>
          <w:tcPr>
            <w:tcW w:w="463" w:type="dxa"/>
            <w:tcBorders>
              <w:top w:val="nil"/>
              <w:left w:val="nil"/>
              <w:bottom w:val="nil"/>
              <w:right w:val="nil"/>
            </w:tcBorders>
            <w:shd w:val="clear" w:color="auto" w:fill="auto"/>
            <w:noWrap/>
            <w:vAlign w:val="bottom"/>
            <w:hideMark/>
          </w:tcPr>
          <w:p w14:paraId="464DA32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6</w:t>
            </w:r>
          </w:p>
        </w:tc>
        <w:tc>
          <w:tcPr>
            <w:tcW w:w="1099" w:type="dxa"/>
            <w:tcBorders>
              <w:top w:val="nil"/>
              <w:left w:val="nil"/>
              <w:bottom w:val="nil"/>
              <w:right w:val="single" w:sz="12" w:space="0" w:color="auto"/>
            </w:tcBorders>
            <w:shd w:val="clear" w:color="auto" w:fill="auto"/>
            <w:noWrap/>
            <w:vAlign w:val="bottom"/>
            <w:hideMark/>
          </w:tcPr>
          <w:p w14:paraId="2B78C56B"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Harder</w:t>
            </w:r>
          </w:p>
        </w:tc>
        <w:tc>
          <w:tcPr>
            <w:tcW w:w="937" w:type="dxa"/>
            <w:tcBorders>
              <w:top w:val="nil"/>
              <w:left w:val="nil"/>
              <w:bottom w:val="nil"/>
              <w:right w:val="nil"/>
            </w:tcBorders>
            <w:shd w:val="clear" w:color="auto" w:fill="auto"/>
            <w:noWrap/>
            <w:vAlign w:val="bottom"/>
            <w:hideMark/>
          </w:tcPr>
          <w:p w14:paraId="533A60D4"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01A17F6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05" w:type="dxa"/>
            <w:tcBorders>
              <w:top w:val="nil"/>
              <w:left w:val="nil"/>
              <w:bottom w:val="nil"/>
              <w:right w:val="nil"/>
            </w:tcBorders>
            <w:shd w:val="clear" w:color="auto" w:fill="auto"/>
            <w:noWrap/>
            <w:vAlign w:val="bottom"/>
            <w:hideMark/>
          </w:tcPr>
          <w:p w14:paraId="2BA08854"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489ABB0F"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48" w:type="dxa"/>
            <w:tcBorders>
              <w:top w:val="nil"/>
              <w:left w:val="nil"/>
              <w:bottom w:val="nil"/>
              <w:right w:val="nil"/>
            </w:tcBorders>
            <w:shd w:val="clear" w:color="auto" w:fill="auto"/>
            <w:noWrap/>
            <w:vAlign w:val="bottom"/>
            <w:hideMark/>
          </w:tcPr>
          <w:p w14:paraId="73070ACC"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70361C4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77" w:type="dxa"/>
            <w:tcBorders>
              <w:top w:val="nil"/>
              <w:left w:val="nil"/>
              <w:bottom w:val="nil"/>
              <w:right w:val="nil"/>
            </w:tcBorders>
            <w:shd w:val="clear" w:color="auto" w:fill="auto"/>
            <w:noWrap/>
            <w:vAlign w:val="bottom"/>
            <w:hideMark/>
          </w:tcPr>
          <w:p w14:paraId="66E6FC65"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4" w:space="0" w:color="auto"/>
            </w:tcBorders>
            <w:shd w:val="clear" w:color="auto" w:fill="auto"/>
            <w:noWrap/>
            <w:vAlign w:val="bottom"/>
            <w:hideMark/>
          </w:tcPr>
          <w:p w14:paraId="466DA89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r>
      <w:tr w:rsidR="001817D2" w:rsidRPr="001817D2" w14:paraId="4534B36A" w14:textId="77777777" w:rsidTr="00E630F0">
        <w:trPr>
          <w:trHeight w:val="300"/>
        </w:trPr>
        <w:tc>
          <w:tcPr>
            <w:tcW w:w="463" w:type="dxa"/>
            <w:tcBorders>
              <w:top w:val="nil"/>
              <w:left w:val="nil"/>
              <w:bottom w:val="nil"/>
              <w:right w:val="nil"/>
            </w:tcBorders>
            <w:shd w:val="clear" w:color="auto" w:fill="auto"/>
            <w:noWrap/>
            <w:vAlign w:val="bottom"/>
            <w:hideMark/>
          </w:tcPr>
          <w:p w14:paraId="62D230D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7</w:t>
            </w:r>
          </w:p>
        </w:tc>
        <w:tc>
          <w:tcPr>
            <w:tcW w:w="1099" w:type="dxa"/>
            <w:tcBorders>
              <w:top w:val="nil"/>
              <w:left w:val="nil"/>
              <w:bottom w:val="nil"/>
              <w:right w:val="single" w:sz="12" w:space="0" w:color="auto"/>
            </w:tcBorders>
            <w:shd w:val="clear" w:color="auto" w:fill="auto"/>
            <w:noWrap/>
            <w:vAlign w:val="bottom"/>
            <w:hideMark/>
          </w:tcPr>
          <w:p w14:paraId="34A93D1E"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Harper</w:t>
            </w:r>
          </w:p>
        </w:tc>
        <w:tc>
          <w:tcPr>
            <w:tcW w:w="937" w:type="dxa"/>
            <w:tcBorders>
              <w:top w:val="nil"/>
              <w:left w:val="nil"/>
              <w:bottom w:val="nil"/>
              <w:right w:val="nil"/>
            </w:tcBorders>
            <w:shd w:val="clear" w:color="auto" w:fill="auto"/>
            <w:noWrap/>
            <w:vAlign w:val="bottom"/>
            <w:hideMark/>
          </w:tcPr>
          <w:p w14:paraId="5B9A6F8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0.8</w:t>
            </w:r>
          </w:p>
        </w:tc>
        <w:tc>
          <w:tcPr>
            <w:tcW w:w="914" w:type="dxa"/>
            <w:tcBorders>
              <w:top w:val="nil"/>
              <w:left w:val="nil"/>
              <w:bottom w:val="nil"/>
              <w:right w:val="single" w:sz="12" w:space="0" w:color="auto"/>
            </w:tcBorders>
            <w:shd w:val="clear" w:color="auto" w:fill="auto"/>
            <w:noWrap/>
            <w:vAlign w:val="bottom"/>
            <w:hideMark/>
          </w:tcPr>
          <w:p w14:paraId="4EB580C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c>
          <w:tcPr>
            <w:tcW w:w="1005" w:type="dxa"/>
            <w:tcBorders>
              <w:top w:val="nil"/>
              <w:left w:val="nil"/>
              <w:bottom w:val="nil"/>
              <w:right w:val="nil"/>
            </w:tcBorders>
            <w:shd w:val="clear" w:color="auto" w:fill="auto"/>
            <w:noWrap/>
            <w:vAlign w:val="bottom"/>
            <w:hideMark/>
          </w:tcPr>
          <w:p w14:paraId="24196FD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0.8</w:t>
            </w:r>
          </w:p>
        </w:tc>
        <w:tc>
          <w:tcPr>
            <w:tcW w:w="914" w:type="dxa"/>
            <w:tcBorders>
              <w:top w:val="nil"/>
              <w:left w:val="nil"/>
              <w:bottom w:val="nil"/>
              <w:right w:val="single" w:sz="12" w:space="0" w:color="auto"/>
            </w:tcBorders>
            <w:shd w:val="clear" w:color="auto" w:fill="auto"/>
            <w:noWrap/>
            <w:vAlign w:val="bottom"/>
            <w:hideMark/>
          </w:tcPr>
          <w:p w14:paraId="7EE44B0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c>
          <w:tcPr>
            <w:tcW w:w="1048" w:type="dxa"/>
            <w:tcBorders>
              <w:top w:val="nil"/>
              <w:left w:val="nil"/>
              <w:bottom w:val="nil"/>
              <w:right w:val="nil"/>
            </w:tcBorders>
            <w:shd w:val="clear" w:color="auto" w:fill="auto"/>
            <w:noWrap/>
            <w:vAlign w:val="bottom"/>
            <w:hideMark/>
          </w:tcPr>
          <w:p w14:paraId="171ED65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0.8</w:t>
            </w:r>
          </w:p>
        </w:tc>
        <w:tc>
          <w:tcPr>
            <w:tcW w:w="914" w:type="dxa"/>
            <w:tcBorders>
              <w:top w:val="nil"/>
              <w:left w:val="nil"/>
              <w:bottom w:val="nil"/>
              <w:right w:val="single" w:sz="12" w:space="0" w:color="auto"/>
            </w:tcBorders>
            <w:shd w:val="clear" w:color="auto" w:fill="auto"/>
            <w:noWrap/>
            <w:vAlign w:val="bottom"/>
            <w:hideMark/>
          </w:tcPr>
          <w:p w14:paraId="15115AB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c>
          <w:tcPr>
            <w:tcW w:w="1077" w:type="dxa"/>
            <w:tcBorders>
              <w:top w:val="nil"/>
              <w:left w:val="nil"/>
              <w:bottom w:val="nil"/>
              <w:right w:val="nil"/>
            </w:tcBorders>
            <w:shd w:val="clear" w:color="auto" w:fill="auto"/>
            <w:noWrap/>
            <w:vAlign w:val="bottom"/>
            <w:hideMark/>
          </w:tcPr>
          <w:p w14:paraId="55D1DE2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0.8</w:t>
            </w:r>
          </w:p>
        </w:tc>
        <w:tc>
          <w:tcPr>
            <w:tcW w:w="914" w:type="dxa"/>
            <w:tcBorders>
              <w:top w:val="nil"/>
              <w:left w:val="nil"/>
              <w:bottom w:val="nil"/>
              <w:right w:val="single" w:sz="4" w:space="0" w:color="auto"/>
            </w:tcBorders>
            <w:shd w:val="clear" w:color="auto" w:fill="auto"/>
            <w:noWrap/>
            <w:vAlign w:val="bottom"/>
            <w:hideMark/>
          </w:tcPr>
          <w:p w14:paraId="6F450098"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r>
      <w:tr w:rsidR="001817D2" w:rsidRPr="001817D2" w14:paraId="74763A1E" w14:textId="77777777" w:rsidTr="00E630F0">
        <w:trPr>
          <w:trHeight w:val="300"/>
        </w:trPr>
        <w:tc>
          <w:tcPr>
            <w:tcW w:w="463" w:type="dxa"/>
            <w:tcBorders>
              <w:top w:val="nil"/>
              <w:left w:val="nil"/>
              <w:bottom w:val="nil"/>
              <w:right w:val="nil"/>
            </w:tcBorders>
            <w:shd w:val="clear" w:color="auto" w:fill="auto"/>
            <w:noWrap/>
            <w:vAlign w:val="bottom"/>
            <w:hideMark/>
          </w:tcPr>
          <w:p w14:paraId="11D3CE70"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8</w:t>
            </w:r>
          </w:p>
        </w:tc>
        <w:tc>
          <w:tcPr>
            <w:tcW w:w="1099" w:type="dxa"/>
            <w:tcBorders>
              <w:top w:val="nil"/>
              <w:left w:val="nil"/>
              <w:bottom w:val="nil"/>
              <w:right w:val="single" w:sz="12" w:space="0" w:color="auto"/>
            </w:tcBorders>
            <w:shd w:val="clear" w:color="auto" w:fill="auto"/>
            <w:noWrap/>
            <w:vAlign w:val="bottom"/>
            <w:hideMark/>
          </w:tcPr>
          <w:p w14:paraId="05A36BDE"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Olaiya</w:t>
            </w:r>
          </w:p>
        </w:tc>
        <w:tc>
          <w:tcPr>
            <w:tcW w:w="937" w:type="dxa"/>
            <w:tcBorders>
              <w:top w:val="nil"/>
              <w:left w:val="nil"/>
              <w:bottom w:val="nil"/>
              <w:right w:val="nil"/>
            </w:tcBorders>
            <w:shd w:val="clear" w:color="auto" w:fill="auto"/>
            <w:noWrap/>
            <w:vAlign w:val="bottom"/>
            <w:hideMark/>
          </w:tcPr>
          <w:p w14:paraId="696DDA9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3666F259"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05" w:type="dxa"/>
            <w:tcBorders>
              <w:top w:val="nil"/>
              <w:left w:val="nil"/>
              <w:bottom w:val="nil"/>
              <w:right w:val="nil"/>
            </w:tcBorders>
            <w:shd w:val="clear" w:color="auto" w:fill="auto"/>
            <w:noWrap/>
            <w:vAlign w:val="bottom"/>
            <w:hideMark/>
          </w:tcPr>
          <w:p w14:paraId="266C1BF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1C79D88E"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48" w:type="dxa"/>
            <w:tcBorders>
              <w:top w:val="nil"/>
              <w:left w:val="nil"/>
              <w:bottom w:val="nil"/>
              <w:right w:val="nil"/>
            </w:tcBorders>
            <w:shd w:val="clear" w:color="auto" w:fill="auto"/>
            <w:noWrap/>
            <w:vAlign w:val="bottom"/>
            <w:hideMark/>
          </w:tcPr>
          <w:p w14:paraId="097582CD"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7C27A353"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77" w:type="dxa"/>
            <w:tcBorders>
              <w:top w:val="nil"/>
              <w:left w:val="nil"/>
              <w:bottom w:val="nil"/>
              <w:right w:val="nil"/>
            </w:tcBorders>
            <w:shd w:val="clear" w:color="auto" w:fill="auto"/>
            <w:noWrap/>
            <w:vAlign w:val="bottom"/>
            <w:hideMark/>
          </w:tcPr>
          <w:p w14:paraId="17B1917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4" w:space="0" w:color="auto"/>
            </w:tcBorders>
            <w:shd w:val="clear" w:color="auto" w:fill="auto"/>
            <w:noWrap/>
            <w:vAlign w:val="bottom"/>
            <w:hideMark/>
          </w:tcPr>
          <w:p w14:paraId="1226C592" w14:textId="77777777" w:rsidR="001817D2" w:rsidRPr="001817D2" w:rsidRDefault="001817D2" w:rsidP="001817D2">
            <w:pPr>
              <w:spacing w:after="0" w:line="240" w:lineRule="auto"/>
              <w:rPr>
                <w:rFonts w:asciiTheme="majorHAnsi" w:eastAsia="Times New Roman" w:hAnsiTheme="majorHAnsi"/>
                <w:color w:val="auto"/>
                <w:sz w:val="20"/>
                <w:szCs w:val="20"/>
              </w:rPr>
            </w:pPr>
          </w:p>
        </w:tc>
      </w:tr>
      <w:tr w:rsidR="001817D2" w:rsidRPr="001817D2" w14:paraId="664EE827" w14:textId="77777777" w:rsidTr="00E630F0">
        <w:trPr>
          <w:trHeight w:val="300"/>
        </w:trPr>
        <w:tc>
          <w:tcPr>
            <w:tcW w:w="463" w:type="dxa"/>
            <w:tcBorders>
              <w:top w:val="nil"/>
              <w:left w:val="nil"/>
              <w:bottom w:val="nil"/>
              <w:right w:val="nil"/>
            </w:tcBorders>
            <w:shd w:val="clear" w:color="auto" w:fill="auto"/>
            <w:noWrap/>
            <w:vAlign w:val="bottom"/>
            <w:hideMark/>
          </w:tcPr>
          <w:p w14:paraId="76A0870F"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9</w:t>
            </w:r>
          </w:p>
        </w:tc>
        <w:tc>
          <w:tcPr>
            <w:tcW w:w="1099" w:type="dxa"/>
            <w:tcBorders>
              <w:top w:val="nil"/>
              <w:left w:val="nil"/>
              <w:bottom w:val="nil"/>
              <w:right w:val="single" w:sz="12" w:space="0" w:color="auto"/>
            </w:tcBorders>
            <w:shd w:val="clear" w:color="auto" w:fill="auto"/>
            <w:noWrap/>
            <w:vAlign w:val="bottom"/>
            <w:hideMark/>
          </w:tcPr>
          <w:p w14:paraId="076A3587"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Williams</w:t>
            </w:r>
          </w:p>
        </w:tc>
        <w:tc>
          <w:tcPr>
            <w:tcW w:w="937" w:type="dxa"/>
            <w:tcBorders>
              <w:top w:val="nil"/>
              <w:left w:val="nil"/>
              <w:bottom w:val="nil"/>
              <w:right w:val="nil"/>
            </w:tcBorders>
            <w:shd w:val="clear" w:color="auto" w:fill="auto"/>
            <w:noWrap/>
            <w:vAlign w:val="bottom"/>
            <w:hideMark/>
          </w:tcPr>
          <w:p w14:paraId="10941EE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1D71AFB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05" w:type="dxa"/>
            <w:tcBorders>
              <w:top w:val="nil"/>
              <w:left w:val="nil"/>
              <w:bottom w:val="nil"/>
              <w:right w:val="nil"/>
            </w:tcBorders>
            <w:shd w:val="clear" w:color="auto" w:fill="auto"/>
            <w:noWrap/>
            <w:vAlign w:val="bottom"/>
            <w:hideMark/>
          </w:tcPr>
          <w:p w14:paraId="2D6E399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78A3842E"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48" w:type="dxa"/>
            <w:tcBorders>
              <w:top w:val="nil"/>
              <w:left w:val="nil"/>
              <w:bottom w:val="nil"/>
              <w:right w:val="nil"/>
            </w:tcBorders>
            <w:shd w:val="clear" w:color="auto" w:fill="auto"/>
            <w:noWrap/>
            <w:vAlign w:val="bottom"/>
            <w:hideMark/>
          </w:tcPr>
          <w:p w14:paraId="3412D95D"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522999F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77" w:type="dxa"/>
            <w:tcBorders>
              <w:top w:val="nil"/>
              <w:left w:val="nil"/>
              <w:bottom w:val="nil"/>
              <w:right w:val="nil"/>
            </w:tcBorders>
            <w:shd w:val="clear" w:color="auto" w:fill="auto"/>
            <w:noWrap/>
            <w:vAlign w:val="bottom"/>
            <w:hideMark/>
          </w:tcPr>
          <w:p w14:paraId="2104F9D1"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4" w:space="0" w:color="auto"/>
            </w:tcBorders>
            <w:shd w:val="clear" w:color="auto" w:fill="auto"/>
            <w:noWrap/>
            <w:vAlign w:val="bottom"/>
            <w:hideMark/>
          </w:tcPr>
          <w:p w14:paraId="56F0934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r>
      <w:tr w:rsidR="001817D2" w:rsidRPr="001817D2" w14:paraId="46E172AD" w14:textId="77777777" w:rsidTr="00E630F0">
        <w:trPr>
          <w:trHeight w:val="300"/>
        </w:trPr>
        <w:tc>
          <w:tcPr>
            <w:tcW w:w="463" w:type="dxa"/>
            <w:tcBorders>
              <w:top w:val="nil"/>
              <w:left w:val="nil"/>
              <w:bottom w:val="nil"/>
              <w:right w:val="nil"/>
            </w:tcBorders>
            <w:shd w:val="clear" w:color="auto" w:fill="auto"/>
            <w:noWrap/>
            <w:vAlign w:val="bottom"/>
            <w:hideMark/>
          </w:tcPr>
          <w:p w14:paraId="7C2D0671"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10</w:t>
            </w:r>
          </w:p>
        </w:tc>
        <w:tc>
          <w:tcPr>
            <w:tcW w:w="1099" w:type="dxa"/>
            <w:tcBorders>
              <w:top w:val="nil"/>
              <w:left w:val="nil"/>
              <w:bottom w:val="nil"/>
              <w:right w:val="single" w:sz="12" w:space="0" w:color="auto"/>
            </w:tcBorders>
            <w:shd w:val="clear" w:color="auto" w:fill="auto"/>
            <w:noWrap/>
            <w:vAlign w:val="bottom"/>
            <w:hideMark/>
          </w:tcPr>
          <w:p w14:paraId="665D1AEE"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Durkin</w:t>
            </w:r>
          </w:p>
        </w:tc>
        <w:tc>
          <w:tcPr>
            <w:tcW w:w="937" w:type="dxa"/>
            <w:tcBorders>
              <w:top w:val="nil"/>
              <w:left w:val="nil"/>
              <w:bottom w:val="nil"/>
              <w:right w:val="nil"/>
            </w:tcBorders>
            <w:shd w:val="clear" w:color="auto" w:fill="auto"/>
            <w:noWrap/>
            <w:vAlign w:val="bottom"/>
            <w:hideMark/>
          </w:tcPr>
          <w:p w14:paraId="1CDEFC4C"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3181AF4D"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05" w:type="dxa"/>
            <w:tcBorders>
              <w:top w:val="nil"/>
              <w:left w:val="nil"/>
              <w:bottom w:val="nil"/>
              <w:right w:val="nil"/>
            </w:tcBorders>
            <w:shd w:val="clear" w:color="auto" w:fill="auto"/>
            <w:noWrap/>
            <w:vAlign w:val="bottom"/>
            <w:hideMark/>
          </w:tcPr>
          <w:p w14:paraId="572EDF95"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3C44435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48" w:type="dxa"/>
            <w:tcBorders>
              <w:top w:val="nil"/>
              <w:left w:val="nil"/>
              <w:bottom w:val="nil"/>
              <w:right w:val="nil"/>
            </w:tcBorders>
            <w:shd w:val="clear" w:color="auto" w:fill="auto"/>
            <w:noWrap/>
            <w:vAlign w:val="bottom"/>
            <w:hideMark/>
          </w:tcPr>
          <w:p w14:paraId="21D7AC15"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69F16ECE"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77" w:type="dxa"/>
            <w:tcBorders>
              <w:top w:val="nil"/>
              <w:left w:val="nil"/>
              <w:bottom w:val="nil"/>
              <w:right w:val="nil"/>
            </w:tcBorders>
            <w:shd w:val="clear" w:color="auto" w:fill="auto"/>
            <w:noWrap/>
            <w:vAlign w:val="bottom"/>
            <w:hideMark/>
          </w:tcPr>
          <w:p w14:paraId="6E34B21F"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4" w:space="0" w:color="auto"/>
            </w:tcBorders>
            <w:shd w:val="clear" w:color="auto" w:fill="auto"/>
            <w:noWrap/>
            <w:vAlign w:val="bottom"/>
            <w:hideMark/>
          </w:tcPr>
          <w:p w14:paraId="76A22E91"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r>
      <w:tr w:rsidR="001817D2" w:rsidRPr="001817D2" w14:paraId="29340266" w14:textId="77777777" w:rsidTr="00E630F0">
        <w:trPr>
          <w:trHeight w:val="300"/>
        </w:trPr>
        <w:tc>
          <w:tcPr>
            <w:tcW w:w="463" w:type="dxa"/>
            <w:tcBorders>
              <w:top w:val="nil"/>
              <w:left w:val="nil"/>
              <w:bottom w:val="nil"/>
              <w:right w:val="nil"/>
            </w:tcBorders>
            <w:shd w:val="clear" w:color="auto" w:fill="auto"/>
            <w:noWrap/>
            <w:vAlign w:val="bottom"/>
            <w:hideMark/>
          </w:tcPr>
          <w:p w14:paraId="51F93661"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11</w:t>
            </w:r>
          </w:p>
        </w:tc>
        <w:tc>
          <w:tcPr>
            <w:tcW w:w="1099" w:type="dxa"/>
            <w:tcBorders>
              <w:top w:val="nil"/>
              <w:left w:val="nil"/>
              <w:bottom w:val="nil"/>
              <w:right w:val="single" w:sz="12" w:space="0" w:color="auto"/>
            </w:tcBorders>
            <w:shd w:val="clear" w:color="auto" w:fill="auto"/>
            <w:noWrap/>
            <w:vAlign w:val="bottom"/>
            <w:hideMark/>
          </w:tcPr>
          <w:p w14:paraId="60A817C7"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Thea</w:t>
            </w:r>
          </w:p>
        </w:tc>
        <w:tc>
          <w:tcPr>
            <w:tcW w:w="937" w:type="dxa"/>
            <w:tcBorders>
              <w:top w:val="nil"/>
              <w:left w:val="nil"/>
              <w:bottom w:val="nil"/>
              <w:right w:val="nil"/>
            </w:tcBorders>
            <w:shd w:val="clear" w:color="auto" w:fill="auto"/>
            <w:noWrap/>
            <w:vAlign w:val="bottom"/>
            <w:hideMark/>
          </w:tcPr>
          <w:p w14:paraId="2BA526C1"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79CC7E7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05" w:type="dxa"/>
            <w:tcBorders>
              <w:top w:val="nil"/>
              <w:left w:val="nil"/>
              <w:bottom w:val="nil"/>
              <w:right w:val="nil"/>
            </w:tcBorders>
            <w:shd w:val="clear" w:color="auto" w:fill="auto"/>
            <w:noWrap/>
            <w:vAlign w:val="bottom"/>
            <w:hideMark/>
          </w:tcPr>
          <w:p w14:paraId="351BCE6E"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06CB24E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48" w:type="dxa"/>
            <w:tcBorders>
              <w:top w:val="nil"/>
              <w:left w:val="nil"/>
              <w:bottom w:val="nil"/>
              <w:right w:val="nil"/>
            </w:tcBorders>
            <w:shd w:val="clear" w:color="auto" w:fill="auto"/>
            <w:noWrap/>
            <w:vAlign w:val="bottom"/>
            <w:hideMark/>
          </w:tcPr>
          <w:p w14:paraId="3A53B50B"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38553BE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77" w:type="dxa"/>
            <w:tcBorders>
              <w:top w:val="nil"/>
              <w:left w:val="nil"/>
              <w:bottom w:val="nil"/>
              <w:right w:val="nil"/>
            </w:tcBorders>
            <w:shd w:val="clear" w:color="auto" w:fill="auto"/>
            <w:noWrap/>
            <w:vAlign w:val="bottom"/>
            <w:hideMark/>
          </w:tcPr>
          <w:p w14:paraId="38E76BF3"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4" w:space="0" w:color="auto"/>
            </w:tcBorders>
            <w:shd w:val="clear" w:color="auto" w:fill="auto"/>
            <w:noWrap/>
            <w:vAlign w:val="bottom"/>
            <w:hideMark/>
          </w:tcPr>
          <w:p w14:paraId="2125261E"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r>
      <w:tr w:rsidR="001817D2" w:rsidRPr="001817D2" w14:paraId="618983D6" w14:textId="77777777" w:rsidTr="00E630F0">
        <w:trPr>
          <w:trHeight w:val="300"/>
        </w:trPr>
        <w:tc>
          <w:tcPr>
            <w:tcW w:w="463" w:type="dxa"/>
            <w:tcBorders>
              <w:top w:val="nil"/>
              <w:left w:val="nil"/>
              <w:bottom w:val="nil"/>
              <w:right w:val="nil"/>
            </w:tcBorders>
            <w:shd w:val="clear" w:color="auto" w:fill="auto"/>
            <w:noWrap/>
            <w:vAlign w:val="bottom"/>
            <w:hideMark/>
          </w:tcPr>
          <w:p w14:paraId="4B4CD10E"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12</w:t>
            </w:r>
          </w:p>
        </w:tc>
        <w:tc>
          <w:tcPr>
            <w:tcW w:w="1099" w:type="dxa"/>
            <w:tcBorders>
              <w:top w:val="nil"/>
              <w:left w:val="nil"/>
              <w:bottom w:val="nil"/>
              <w:right w:val="single" w:sz="12" w:space="0" w:color="auto"/>
            </w:tcBorders>
            <w:shd w:val="clear" w:color="auto" w:fill="auto"/>
            <w:noWrap/>
            <w:vAlign w:val="bottom"/>
            <w:hideMark/>
          </w:tcPr>
          <w:p w14:paraId="5CFCE34C"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Sankey</w:t>
            </w:r>
          </w:p>
        </w:tc>
        <w:tc>
          <w:tcPr>
            <w:tcW w:w="937" w:type="dxa"/>
            <w:tcBorders>
              <w:top w:val="nil"/>
              <w:left w:val="nil"/>
              <w:bottom w:val="nil"/>
              <w:right w:val="nil"/>
            </w:tcBorders>
            <w:shd w:val="clear" w:color="auto" w:fill="auto"/>
            <w:noWrap/>
            <w:vAlign w:val="bottom"/>
            <w:hideMark/>
          </w:tcPr>
          <w:p w14:paraId="6CA8B2F3"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1EE5F40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05" w:type="dxa"/>
            <w:tcBorders>
              <w:top w:val="nil"/>
              <w:left w:val="nil"/>
              <w:bottom w:val="nil"/>
              <w:right w:val="nil"/>
            </w:tcBorders>
            <w:shd w:val="clear" w:color="auto" w:fill="auto"/>
            <w:noWrap/>
            <w:vAlign w:val="bottom"/>
            <w:hideMark/>
          </w:tcPr>
          <w:p w14:paraId="76CFDC80"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1F4B158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48" w:type="dxa"/>
            <w:tcBorders>
              <w:top w:val="nil"/>
              <w:left w:val="nil"/>
              <w:bottom w:val="nil"/>
              <w:right w:val="nil"/>
            </w:tcBorders>
            <w:shd w:val="clear" w:color="auto" w:fill="auto"/>
            <w:noWrap/>
            <w:vAlign w:val="bottom"/>
            <w:hideMark/>
          </w:tcPr>
          <w:p w14:paraId="1E85E623"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11DA9D7E"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77" w:type="dxa"/>
            <w:tcBorders>
              <w:top w:val="nil"/>
              <w:left w:val="nil"/>
              <w:bottom w:val="nil"/>
              <w:right w:val="nil"/>
            </w:tcBorders>
            <w:shd w:val="clear" w:color="auto" w:fill="auto"/>
            <w:noWrap/>
            <w:vAlign w:val="bottom"/>
            <w:hideMark/>
          </w:tcPr>
          <w:p w14:paraId="0AD896E9"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4" w:space="0" w:color="auto"/>
            </w:tcBorders>
            <w:shd w:val="clear" w:color="auto" w:fill="auto"/>
            <w:noWrap/>
            <w:vAlign w:val="bottom"/>
            <w:hideMark/>
          </w:tcPr>
          <w:p w14:paraId="32221B9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r>
      <w:tr w:rsidR="001817D2" w:rsidRPr="001817D2" w14:paraId="6A619D70" w14:textId="77777777" w:rsidTr="00E630F0">
        <w:trPr>
          <w:trHeight w:val="300"/>
        </w:trPr>
        <w:tc>
          <w:tcPr>
            <w:tcW w:w="463" w:type="dxa"/>
            <w:tcBorders>
              <w:top w:val="nil"/>
              <w:left w:val="nil"/>
              <w:bottom w:val="nil"/>
              <w:right w:val="nil"/>
            </w:tcBorders>
            <w:shd w:val="clear" w:color="auto" w:fill="auto"/>
            <w:noWrap/>
            <w:vAlign w:val="bottom"/>
            <w:hideMark/>
          </w:tcPr>
          <w:p w14:paraId="73939EF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13</w:t>
            </w:r>
          </w:p>
        </w:tc>
        <w:tc>
          <w:tcPr>
            <w:tcW w:w="1099" w:type="dxa"/>
            <w:tcBorders>
              <w:top w:val="nil"/>
              <w:left w:val="nil"/>
              <w:bottom w:val="nil"/>
              <w:right w:val="single" w:sz="12" w:space="0" w:color="auto"/>
            </w:tcBorders>
            <w:shd w:val="clear" w:color="auto" w:fill="auto"/>
            <w:noWrap/>
            <w:vAlign w:val="bottom"/>
            <w:hideMark/>
          </w:tcPr>
          <w:p w14:paraId="0146CECA"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Brew</w:t>
            </w:r>
          </w:p>
        </w:tc>
        <w:tc>
          <w:tcPr>
            <w:tcW w:w="937" w:type="dxa"/>
            <w:tcBorders>
              <w:top w:val="nil"/>
              <w:left w:val="nil"/>
              <w:bottom w:val="nil"/>
              <w:right w:val="nil"/>
            </w:tcBorders>
            <w:shd w:val="clear" w:color="auto" w:fill="auto"/>
            <w:noWrap/>
            <w:vAlign w:val="bottom"/>
            <w:hideMark/>
          </w:tcPr>
          <w:p w14:paraId="1477D980"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54DFCD3B"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05" w:type="dxa"/>
            <w:tcBorders>
              <w:top w:val="nil"/>
              <w:left w:val="nil"/>
              <w:bottom w:val="nil"/>
              <w:right w:val="nil"/>
            </w:tcBorders>
            <w:shd w:val="clear" w:color="auto" w:fill="auto"/>
            <w:noWrap/>
            <w:vAlign w:val="bottom"/>
            <w:hideMark/>
          </w:tcPr>
          <w:p w14:paraId="28D12B9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7B81DEDF"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48" w:type="dxa"/>
            <w:tcBorders>
              <w:top w:val="nil"/>
              <w:left w:val="nil"/>
              <w:bottom w:val="nil"/>
              <w:right w:val="nil"/>
            </w:tcBorders>
            <w:shd w:val="clear" w:color="auto" w:fill="auto"/>
            <w:noWrap/>
            <w:vAlign w:val="bottom"/>
            <w:hideMark/>
          </w:tcPr>
          <w:p w14:paraId="405018D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5BD66F89"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77" w:type="dxa"/>
            <w:tcBorders>
              <w:top w:val="nil"/>
              <w:left w:val="nil"/>
              <w:bottom w:val="nil"/>
              <w:right w:val="nil"/>
            </w:tcBorders>
            <w:shd w:val="clear" w:color="auto" w:fill="auto"/>
            <w:noWrap/>
            <w:vAlign w:val="bottom"/>
            <w:hideMark/>
          </w:tcPr>
          <w:p w14:paraId="4C81BCC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4" w:space="0" w:color="auto"/>
            </w:tcBorders>
            <w:shd w:val="clear" w:color="auto" w:fill="auto"/>
            <w:noWrap/>
            <w:vAlign w:val="bottom"/>
            <w:hideMark/>
          </w:tcPr>
          <w:p w14:paraId="2833E840" w14:textId="77777777" w:rsidR="001817D2" w:rsidRPr="001817D2" w:rsidRDefault="001817D2" w:rsidP="001817D2">
            <w:pPr>
              <w:spacing w:after="0" w:line="240" w:lineRule="auto"/>
              <w:rPr>
                <w:rFonts w:asciiTheme="majorHAnsi" w:eastAsia="Times New Roman" w:hAnsiTheme="majorHAnsi"/>
                <w:color w:val="auto"/>
                <w:sz w:val="20"/>
                <w:szCs w:val="20"/>
              </w:rPr>
            </w:pPr>
          </w:p>
        </w:tc>
      </w:tr>
      <w:tr w:rsidR="001817D2" w:rsidRPr="001817D2" w14:paraId="0565629B" w14:textId="77777777" w:rsidTr="00E630F0">
        <w:trPr>
          <w:trHeight w:val="300"/>
        </w:trPr>
        <w:tc>
          <w:tcPr>
            <w:tcW w:w="463" w:type="dxa"/>
            <w:tcBorders>
              <w:top w:val="nil"/>
              <w:left w:val="nil"/>
              <w:bottom w:val="nil"/>
              <w:right w:val="nil"/>
            </w:tcBorders>
            <w:shd w:val="clear" w:color="auto" w:fill="auto"/>
            <w:noWrap/>
            <w:vAlign w:val="bottom"/>
            <w:hideMark/>
          </w:tcPr>
          <w:p w14:paraId="3DE1C8C0"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14</w:t>
            </w:r>
          </w:p>
        </w:tc>
        <w:tc>
          <w:tcPr>
            <w:tcW w:w="1099" w:type="dxa"/>
            <w:tcBorders>
              <w:top w:val="nil"/>
              <w:left w:val="nil"/>
              <w:bottom w:val="nil"/>
              <w:right w:val="single" w:sz="12" w:space="0" w:color="auto"/>
            </w:tcBorders>
            <w:shd w:val="clear" w:color="auto" w:fill="auto"/>
            <w:noWrap/>
            <w:vAlign w:val="bottom"/>
            <w:hideMark/>
          </w:tcPr>
          <w:p w14:paraId="19DF3948"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Lahiff</w:t>
            </w:r>
          </w:p>
        </w:tc>
        <w:tc>
          <w:tcPr>
            <w:tcW w:w="937" w:type="dxa"/>
            <w:tcBorders>
              <w:top w:val="nil"/>
              <w:left w:val="nil"/>
              <w:bottom w:val="nil"/>
              <w:right w:val="nil"/>
            </w:tcBorders>
            <w:shd w:val="clear" w:color="auto" w:fill="auto"/>
            <w:noWrap/>
            <w:vAlign w:val="bottom"/>
            <w:hideMark/>
          </w:tcPr>
          <w:p w14:paraId="23A5363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141E3C52"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05" w:type="dxa"/>
            <w:tcBorders>
              <w:top w:val="nil"/>
              <w:left w:val="nil"/>
              <w:bottom w:val="nil"/>
              <w:right w:val="nil"/>
            </w:tcBorders>
            <w:shd w:val="clear" w:color="auto" w:fill="auto"/>
            <w:noWrap/>
            <w:vAlign w:val="bottom"/>
            <w:hideMark/>
          </w:tcPr>
          <w:p w14:paraId="66FCC2D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09CAD280"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48" w:type="dxa"/>
            <w:tcBorders>
              <w:top w:val="nil"/>
              <w:left w:val="nil"/>
              <w:bottom w:val="nil"/>
              <w:right w:val="nil"/>
            </w:tcBorders>
            <w:shd w:val="clear" w:color="auto" w:fill="auto"/>
            <w:noWrap/>
            <w:vAlign w:val="bottom"/>
            <w:hideMark/>
          </w:tcPr>
          <w:p w14:paraId="44FA34A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4DC3587D"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77" w:type="dxa"/>
            <w:tcBorders>
              <w:top w:val="nil"/>
              <w:left w:val="nil"/>
              <w:bottom w:val="nil"/>
              <w:right w:val="nil"/>
            </w:tcBorders>
            <w:shd w:val="clear" w:color="auto" w:fill="auto"/>
            <w:noWrap/>
            <w:vAlign w:val="bottom"/>
            <w:hideMark/>
          </w:tcPr>
          <w:p w14:paraId="5A26A17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4" w:space="0" w:color="auto"/>
            </w:tcBorders>
            <w:shd w:val="clear" w:color="auto" w:fill="auto"/>
            <w:noWrap/>
            <w:vAlign w:val="bottom"/>
            <w:hideMark/>
          </w:tcPr>
          <w:p w14:paraId="170DBF02" w14:textId="77777777" w:rsidR="001817D2" w:rsidRPr="001817D2" w:rsidRDefault="001817D2" w:rsidP="001817D2">
            <w:pPr>
              <w:spacing w:after="0" w:line="240" w:lineRule="auto"/>
              <w:rPr>
                <w:rFonts w:asciiTheme="majorHAnsi" w:eastAsia="Times New Roman" w:hAnsiTheme="majorHAnsi"/>
                <w:color w:val="auto"/>
                <w:sz w:val="20"/>
                <w:szCs w:val="20"/>
              </w:rPr>
            </w:pPr>
          </w:p>
        </w:tc>
      </w:tr>
      <w:tr w:rsidR="001817D2" w:rsidRPr="001817D2" w14:paraId="24CFEDA8" w14:textId="77777777" w:rsidTr="00E630F0">
        <w:trPr>
          <w:trHeight w:val="300"/>
        </w:trPr>
        <w:tc>
          <w:tcPr>
            <w:tcW w:w="463" w:type="dxa"/>
            <w:tcBorders>
              <w:top w:val="nil"/>
              <w:left w:val="nil"/>
              <w:bottom w:val="nil"/>
              <w:right w:val="nil"/>
            </w:tcBorders>
            <w:shd w:val="clear" w:color="auto" w:fill="auto"/>
            <w:noWrap/>
            <w:vAlign w:val="bottom"/>
            <w:hideMark/>
          </w:tcPr>
          <w:p w14:paraId="1D84949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15</w:t>
            </w:r>
          </w:p>
        </w:tc>
        <w:tc>
          <w:tcPr>
            <w:tcW w:w="1099" w:type="dxa"/>
            <w:tcBorders>
              <w:top w:val="nil"/>
              <w:left w:val="nil"/>
              <w:bottom w:val="nil"/>
              <w:right w:val="single" w:sz="12" w:space="0" w:color="auto"/>
            </w:tcBorders>
            <w:shd w:val="clear" w:color="auto" w:fill="auto"/>
            <w:noWrap/>
            <w:vAlign w:val="bottom"/>
            <w:hideMark/>
          </w:tcPr>
          <w:p w14:paraId="02458595"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Newbold</w:t>
            </w:r>
          </w:p>
        </w:tc>
        <w:tc>
          <w:tcPr>
            <w:tcW w:w="937" w:type="dxa"/>
            <w:tcBorders>
              <w:top w:val="nil"/>
              <w:left w:val="nil"/>
              <w:bottom w:val="nil"/>
              <w:right w:val="nil"/>
            </w:tcBorders>
            <w:shd w:val="clear" w:color="auto" w:fill="auto"/>
            <w:noWrap/>
            <w:vAlign w:val="bottom"/>
            <w:hideMark/>
          </w:tcPr>
          <w:p w14:paraId="402249FE"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7E7D7D3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05" w:type="dxa"/>
            <w:tcBorders>
              <w:top w:val="nil"/>
              <w:left w:val="nil"/>
              <w:bottom w:val="nil"/>
              <w:right w:val="nil"/>
            </w:tcBorders>
            <w:shd w:val="clear" w:color="auto" w:fill="auto"/>
            <w:noWrap/>
            <w:vAlign w:val="bottom"/>
            <w:hideMark/>
          </w:tcPr>
          <w:p w14:paraId="2F38FBE6"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38246F7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48" w:type="dxa"/>
            <w:tcBorders>
              <w:top w:val="nil"/>
              <w:left w:val="nil"/>
              <w:bottom w:val="nil"/>
              <w:right w:val="nil"/>
            </w:tcBorders>
            <w:shd w:val="clear" w:color="auto" w:fill="auto"/>
            <w:noWrap/>
            <w:vAlign w:val="bottom"/>
            <w:hideMark/>
          </w:tcPr>
          <w:p w14:paraId="68D4D197"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477971E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77" w:type="dxa"/>
            <w:tcBorders>
              <w:top w:val="nil"/>
              <w:left w:val="nil"/>
              <w:bottom w:val="nil"/>
              <w:right w:val="nil"/>
            </w:tcBorders>
            <w:shd w:val="clear" w:color="auto" w:fill="auto"/>
            <w:noWrap/>
            <w:vAlign w:val="bottom"/>
            <w:hideMark/>
          </w:tcPr>
          <w:p w14:paraId="1912D7C0"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4" w:space="0" w:color="auto"/>
            </w:tcBorders>
            <w:shd w:val="clear" w:color="auto" w:fill="auto"/>
            <w:noWrap/>
            <w:vAlign w:val="bottom"/>
            <w:hideMark/>
          </w:tcPr>
          <w:p w14:paraId="02EBA2C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r>
    </w:tbl>
    <w:p w14:paraId="43AE08C5" w14:textId="323E5600" w:rsidR="005A24DC" w:rsidRPr="005A24DC" w:rsidRDefault="00230ACA" w:rsidP="001817D2">
      <w:pPr>
        <w:pStyle w:val="ListParagraph"/>
      </w:pPr>
      <w:r w:rsidRPr="00AA3BE0">
        <w:t xml:space="preserve"> </w:t>
      </w:r>
    </w:p>
    <w:p w14:paraId="42A2D2E1" w14:textId="77777777" w:rsidR="005A24DC" w:rsidRPr="005A24DC" w:rsidRDefault="00230ACA" w:rsidP="00CF2C46">
      <w:pPr>
        <w:pStyle w:val="ListNumber"/>
      </w:pPr>
      <w:r w:rsidRPr="00AA3BE0">
        <w:t xml:space="preserve">When costing computing, what fraction has been assumed to be chargeable to other budgets (GridPP, upgrade </w:t>
      </w:r>
      <w:proofErr w:type="spellStart"/>
      <w:r w:rsidRPr="00AA3BE0">
        <w:t>etc</w:t>
      </w:r>
      <w:proofErr w:type="spellEnd"/>
      <w:r w:rsidRPr="00AA3BE0">
        <w:t>)? That is, please confirm that fractions of people working on other projects (e.g. GridPP, Upgrade) are included in travel only at the appropriate fractions when requesting LTA and short term travel here.</w:t>
      </w:r>
    </w:p>
    <w:p w14:paraId="7B80DBCC" w14:textId="6E3C5C99" w:rsidR="005A24DC" w:rsidRDefault="005A24DC" w:rsidP="002F4E62">
      <w:pPr>
        <w:pStyle w:val="ListParagraph"/>
      </w:pPr>
      <w:r>
        <w:t xml:space="preserve">We have no staff in computing roles on LTA. The travel for staff primarily working on computing matters has been very limited and consists mainly in </w:t>
      </w:r>
      <w:r w:rsidR="00E74B42">
        <w:t xml:space="preserve">attending </w:t>
      </w:r>
      <w:r>
        <w:t xml:space="preserve">a very few important coordination meetings, except for the few academic staff involved, notably David Colling, whose travel is generally physics-related and combined with computing </w:t>
      </w:r>
      <w:r>
        <w:lastRenderedPageBreak/>
        <w:t>management meetings where necessary.  There is also no allocation for computing travel in the upgrade project.</w:t>
      </w:r>
    </w:p>
    <w:p w14:paraId="782CB623" w14:textId="77777777" w:rsidR="00905516" w:rsidRPr="005A24DC" w:rsidRDefault="00905516" w:rsidP="002F4E62">
      <w:pPr>
        <w:pStyle w:val="ListParagraph"/>
      </w:pPr>
    </w:p>
    <w:p w14:paraId="197D2E0D" w14:textId="77777777" w:rsidR="00230ACA" w:rsidRDefault="00230ACA" w:rsidP="00CF2C46">
      <w:pPr>
        <w:pStyle w:val="ListNumber"/>
      </w:pPr>
      <w:r w:rsidRPr="00AA3BE0">
        <w:t xml:space="preserve">please separate costs for M&amp;O B for tracker, ECAL, trigger, and computing if any.  </w:t>
      </w:r>
    </w:p>
    <w:p w14:paraId="725C75D2" w14:textId="77777777" w:rsidR="00AA3BE0" w:rsidRPr="00AA3BE0" w:rsidRDefault="00AA3BE0" w:rsidP="00837FF3">
      <w:pPr>
        <w:pStyle w:val="ListParagraph"/>
      </w:pPr>
      <w:r w:rsidRPr="00AA3BE0">
        <w:rPr>
          <w:color w:val="auto"/>
        </w:rPr>
        <w:t>The answers are given in the table</w:t>
      </w:r>
      <w:r>
        <w:t xml:space="preserve"> following Q1. There are no central M&amp;O B costs for computing, only UK expenses, which are not reported at RRBs.</w:t>
      </w:r>
      <w:r w:rsidRPr="00AA3BE0">
        <w:t xml:space="preserve"> </w:t>
      </w:r>
    </w:p>
    <w:p w14:paraId="6020F5F8" w14:textId="77777777" w:rsidR="00230ACA" w:rsidRDefault="00230ACA">
      <w:pPr>
        <w:pStyle w:val="ListParagraph"/>
        <w:spacing w:line="360" w:lineRule="auto"/>
        <w:ind w:left="0"/>
      </w:pPr>
    </w:p>
    <w:p w14:paraId="6B890E85" w14:textId="77777777" w:rsidR="00230ACA" w:rsidRDefault="00230ACA"/>
    <w:p w14:paraId="03FF05F2" w14:textId="77777777" w:rsidR="00230ACA" w:rsidRDefault="00F861BC" w:rsidP="007B46A4">
      <w:pPr>
        <w:ind w:hanging="851"/>
        <w:rPr>
          <w:rFonts w:ascii="Times New Roman" w:eastAsia="Times New Roman" w:hAnsi="Times New Roman"/>
          <w:color w:val="auto"/>
          <w:sz w:val="20"/>
          <w:lang w:bidi="x-none"/>
        </w:rPr>
      </w:pPr>
      <w:r>
        <w:rPr>
          <w:rFonts w:ascii="Times New Roman" w:eastAsia="Times New Roman" w:hAnsi="Times New Roman"/>
          <w:noProof/>
          <w:color w:val="auto"/>
          <w:sz w:val="20"/>
          <w:lang w:val="en-US"/>
        </w:rPr>
        <w:drawing>
          <wp:inline distT="0" distB="0" distL="0" distR="0" wp14:anchorId="368601D5" wp14:editId="4E011EB2">
            <wp:extent cx="6832600" cy="4106545"/>
            <wp:effectExtent l="0" t="0" r="0" b="0"/>
            <wp:docPr id="1" name="Picture 1" desc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K"/>
                    <pic:cNvPicPr>
                      <a:picLocks noChangeAspect="1" noChangeArrowheads="1"/>
                    </pic:cNvPicPr>
                  </pic:nvPicPr>
                  <pic:blipFill>
                    <a:blip r:embed="rId8">
                      <a:extLst>
                        <a:ext uri="{28A0092B-C50C-407E-A947-70E740481C1C}">
                          <a14:useLocalDpi xmlns:a14="http://schemas.microsoft.com/office/drawing/2010/main" val="0"/>
                        </a:ext>
                      </a:extLst>
                    </a:blip>
                    <a:srcRect l="7126" t="10588" r="6288" b="15468"/>
                    <a:stretch>
                      <a:fillRect/>
                    </a:stretch>
                  </pic:blipFill>
                  <pic:spPr bwMode="auto">
                    <a:xfrm>
                      <a:off x="0" y="0"/>
                      <a:ext cx="6832600" cy="4106545"/>
                    </a:xfrm>
                    <a:prstGeom prst="rect">
                      <a:avLst/>
                    </a:prstGeom>
                    <a:noFill/>
                    <a:ln>
                      <a:noFill/>
                    </a:ln>
                  </pic:spPr>
                </pic:pic>
              </a:graphicData>
            </a:graphic>
          </wp:inline>
        </w:drawing>
      </w:r>
    </w:p>
    <w:p w14:paraId="6993D1AE" w14:textId="37BF555D" w:rsidR="00634C68" w:rsidRDefault="00634C68" w:rsidP="00634C68">
      <w:pPr>
        <w:pStyle w:val="Heading11"/>
      </w:pPr>
      <w:r>
        <w:lastRenderedPageBreak/>
        <w:t>ECAL organisation</w:t>
      </w:r>
    </w:p>
    <w:p w14:paraId="66DFE5F6" w14:textId="77777777" w:rsidR="00634C68" w:rsidRDefault="00F861BC" w:rsidP="001A1E84">
      <w:pPr>
        <w:ind w:hanging="851"/>
        <w:jc w:val="right"/>
        <w:rPr>
          <w:rFonts w:ascii="Times New Roman" w:eastAsia="Times New Roman" w:hAnsi="Times New Roman"/>
          <w:color w:val="auto"/>
          <w:sz w:val="20"/>
          <w:lang w:bidi="x-none"/>
        </w:rPr>
      </w:pPr>
      <w:r>
        <w:rPr>
          <w:rFonts w:ascii="Times New Roman" w:eastAsia="Times New Roman" w:hAnsi="Times New Roman"/>
          <w:noProof/>
          <w:color w:val="auto"/>
          <w:sz w:val="20"/>
          <w:lang w:val="en-US"/>
        </w:rPr>
        <w:drawing>
          <wp:inline distT="0" distB="0" distL="0" distR="0" wp14:anchorId="1C037619" wp14:editId="4BD651FB">
            <wp:extent cx="5723255" cy="4656455"/>
            <wp:effectExtent l="0" t="0" r="0" b="0"/>
            <wp:docPr id="2" name="Picture 2" descr="2015ECAL-Organizatio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ECAL-OrganizationCh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255" cy="4656455"/>
                    </a:xfrm>
                    <a:prstGeom prst="rect">
                      <a:avLst/>
                    </a:prstGeom>
                    <a:noFill/>
                    <a:ln>
                      <a:noFill/>
                    </a:ln>
                  </pic:spPr>
                </pic:pic>
              </a:graphicData>
            </a:graphic>
          </wp:inline>
        </w:drawing>
      </w:r>
    </w:p>
    <w:p w14:paraId="5707776A" w14:textId="77777777" w:rsidR="00033812" w:rsidRDefault="00033812" w:rsidP="001A1E84">
      <w:pPr>
        <w:ind w:hanging="851"/>
        <w:jc w:val="right"/>
        <w:rPr>
          <w:rFonts w:ascii="Times New Roman" w:eastAsia="Times New Roman" w:hAnsi="Times New Roman"/>
          <w:color w:val="auto"/>
          <w:sz w:val="20"/>
          <w:lang w:bidi="x-none"/>
        </w:rPr>
      </w:pPr>
    </w:p>
    <w:p w14:paraId="547CFC71" w14:textId="59ED5A35" w:rsidR="00033812" w:rsidRDefault="00033812" w:rsidP="00033812">
      <w:pPr>
        <w:pStyle w:val="Heading11"/>
      </w:pPr>
      <w:r>
        <w:lastRenderedPageBreak/>
        <w:t>Trigger</w:t>
      </w:r>
    </w:p>
    <w:p w14:paraId="01AA9752" w14:textId="14384274" w:rsidR="00033812" w:rsidRDefault="00033812" w:rsidP="00033812">
      <w:r>
        <w:rPr>
          <w:noProof/>
          <w:lang w:val="en-US"/>
        </w:rPr>
        <w:drawing>
          <wp:inline distT="0" distB="0" distL="0" distR="0" wp14:anchorId="4D5A2B08" wp14:editId="7B55D650">
            <wp:extent cx="6005774"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g_org_chart.pdf"/>
                    <pic:cNvPicPr/>
                  </pic:nvPicPr>
                  <pic:blipFill rotWithShape="1">
                    <a:blip r:embed="rId10">
                      <a:extLst>
                        <a:ext uri="{28A0092B-C50C-407E-A947-70E740481C1C}">
                          <a14:useLocalDpi xmlns:a14="http://schemas.microsoft.com/office/drawing/2010/main" val="0"/>
                        </a:ext>
                      </a:extLst>
                    </a:blip>
                    <a:srcRect l="15374" t="8367" r="11591" b="32624"/>
                    <a:stretch/>
                  </pic:blipFill>
                  <pic:spPr bwMode="auto">
                    <a:xfrm>
                      <a:off x="0" y="0"/>
                      <a:ext cx="6006964" cy="3429679"/>
                    </a:xfrm>
                    <a:prstGeom prst="rect">
                      <a:avLst/>
                    </a:prstGeom>
                    <a:ln>
                      <a:noFill/>
                    </a:ln>
                    <a:extLst>
                      <a:ext uri="{53640926-AAD7-44d8-BBD7-CCE9431645EC}">
                        <a14:shadowObscured xmlns:a14="http://schemas.microsoft.com/office/drawing/2010/main"/>
                      </a:ext>
                    </a:extLst>
                  </pic:spPr>
                </pic:pic>
              </a:graphicData>
            </a:graphic>
          </wp:inline>
        </w:drawing>
      </w:r>
    </w:p>
    <w:p w14:paraId="263E44E4" w14:textId="3DE5AE67" w:rsidR="002E32FB" w:rsidRDefault="002E32FB" w:rsidP="002E32FB">
      <w:pPr>
        <w:pStyle w:val="Heading11"/>
      </w:pPr>
      <w:r>
        <w:t>Computing</w:t>
      </w:r>
    </w:p>
    <w:p w14:paraId="2F607B83" w14:textId="79098328" w:rsidR="002E32FB" w:rsidRPr="002E32FB" w:rsidRDefault="002E32FB" w:rsidP="002E32FB">
      <w:r>
        <w:rPr>
          <w:noProof/>
          <w:lang w:val="en-US"/>
        </w:rPr>
        <w:drawing>
          <wp:inline distT="0" distB="0" distL="0" distR="0" wp14:anchorId="7CF99DBF" wp14:editId="3B71419F">
            <wp:extent cx="5727700" cy="396557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ing_org.pdf"/>
                    <pic:cNvPicPr/>
                  </pic:nvPicPr>
                  <pic:blipFill>
                    <a:blip r:embed="rId11">
                      <a:extLst>
                        <a:ext uri="{28A0092B-C50C-407E-A947-70E740481C1C}">
                          <a14:useLocalDpi xmlns:a14="http://schemas.microsoft.com/office/drawing/2010/main" val="0"/>
                        </a:ext>
                      </a:extLst>
                    </a:blip>
                    <a:stretch>
                      <a:fillRect/>
                    </a:stretch>
                  </pic:blipFill>
                  <pic:spPr>
                    <a:xfrm>
                      <a:off x="0" y="0"/>
                      <a:ext cx="5727700" cy="3965575"/>
                    </a:xfrm>
                    <a:prstGeom prst="rect">
                      <a:avLst/>
                    </a:prstGeom>
                  </pic:spPr>
                </pic:pic>
              </a:graphicData>
            </a:graphic>
          </wp:inline>
        </w:drawing>
      </w:r>
    </w:p>
    <w:sectPr w:rsidR="002E32FB" w:rsidRPr="002E32FB" w:rsidSect="00CF4231">
      <w:headerReference w:type="even" r:id="rId12"/>
      <w:headerReference w:type="default" r:id="rId13"/>
      <w:footerReference w:type="even" r:id="rId14"/>
      <w:footerReference w:type="default" r:id="rId15"/>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6849D" w14:textId="77777777" w:rsidR="00E630F0" w:rsidRDefault="00E630F0">
      <w:pPr>
        <w:spacing w:after="0" w:line="240" w:lineRule="auto"/>
      </w:pPr>
      <w:r>
        <w:separator/>
      </w:r>
    </w:p>
  </w:endnote>
  <w:endnote w:type="continuationSeparator" w:id="0">
    <w:p w14:paraId="760ABFAC" w14:textId="77777777" w:rsidR="00E630F0" w:rsidRDefault="00E63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00000001" w:usb1="08070000" w:usb2="00000010" w:usb3="00000000" w:csb0="00020000" w:csb1="00000000"/>
  </w:font>
  <w:font w:name="Cambria Bold">
    <w:panose1 w:val="020408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06C9D" w14:textId="77777777" w:rsidR="00E61745" w:rsidRDefault="00E61745" w:rsidP="006759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367DF">
      <w:rPr>
        <w:rStyle w:val="PageNumber"/>
        <w:noProof/>
      </w:rPr>
      <w:t>2</w:t>
    </w:r>
    <w:r>
      <w:rPr>
        <w:rStyle w:val="PageNumber"/>
      </w:rPr>
      <w:fldChar w:fldCharType="end"/>
    </w:r>
  </w:p>
  <w:p w14:paraId="3CB97323" w14:textId="77777777" w:rsidR="00E630F0" w:rsidRDefault="00E630F0">
    <w:pPr>
      <w:pStyle w:val="FreeForm"/>
      <w:rPr>
        <w:rFonts w:ascii="Times New Roman" w:eastAsia="Times New Roman" w:hAnsi="Times New Roman"/>
        <w:color w:val="auto"/>
        <w:sz w:val="20"/>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399E0" w14:textId="77777777" w:rsidR="00E61745" w:rsidRDefault="00E61745" w:rsidP="006759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367DF">
      <w:rPr>
        <w:rStyle w:val="PageNumber"/>
        <w:noProof/>
      </w:rPr>
      <w:t>1</w:t>
    </w:r>
    <w:r>
      <w:rPr>
        <w:rStyle w:val="PageNumber"/>
      </w:rPr>
      <w:fldChar w:fldCharType="end"/>
    </w:r>
  </w:p>
  <w:p w14:paraId="0348CD76" w14:textId="77777777" w:rsidR="00E630F0" w:rsidRDefault="00E630F0">
    <w:pPr>
      <w:pStyle w:val="FreeForm"/>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3ED29" w14:textId="77777777" w:rsidR="00E630F0" w:rsidRDefault="00E630F0">
      <w:pPr>
        <w:spacing w:after="0" w:line="240" w:lineRule="auto"/>
      </w:pPr>
      <w:r>
        <w:separator/>
      </w:r>
    </w:p>
  </w:footnote>
  <w:footnote w:type="continuationSeparator" w:id="0">
    <w:p w14:paraId="18D37A40" w14:textId="77777777" w:rsidR="00E630F0" w:rsidRDefault="00E630F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DBFAE" w14:textId="77777777" w:rsidR="00E630F0" w:rsidRDefault="00E630F0">
    <w:pPr>
      <w:pStyle w:val="FreeForm"/>
      <w:rPr>
        <w:rFonts w:ascii="Times New Roman" w:eastAsia="Times New Roman" w:hAnsi="Times New Roman"/>
        <w:color w:val="auto"/>
        <w:sz w:val="20"/>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2C1D4" w14:textId="77777777" w:rsidR="00E630F0" w:rsidRDefault="00E630F0">
    <w:pPr>
      <w:pStyle w:val="FreeForm"/>
      <w:rPr>
        <w:rFonts w:ascii="Times New Roman" w:eastAsia="Times New Roman" w:hAnsi="Times New Roman"/>
        <w:color w:val="auto"/>
        <w:sz w:val="20"/>
        <w:lang w:bidi="x-non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94A0F8"/>
    <w:lvl w:ilvl="0">
      <w:start w:val="1"/>
      <w:numFmt w:val="decimal"/>
      <w:lvlText w:val="%1."/>
      <w:lvlJc w:val="left"/>
      <w:pPr>
        <w:tabs>
          <w:tab w:val="num" w:pos="1492"/>
        </w:tabs>
        <w:ind w:left="1492" w:hanging="360"/>
      </w:pPr>
    </w:lvl>
  </w:abstractNum>
  <w:abstractNum w:abstractNumId="1">
    <w:nsid w:val="FFFFFF7D"/>
    <w:multiLevelType w:val="singleLevel"/>
    <w:tmpl w:val="EB188BE6"/>
    <w:lvl w:ilvl="0">
      <w:start w:val="1"/>
      <w:numFmt w:val="decimal"/>
      <w:lvlText w:val="%1."/>
      <w:lvlJc w:val="left"/>
      <w:pPr>
        <w:tabs>
          <w:tab w:val="num" w:pos="1209"/>
        </w:tabs>
        <w:ind w:left="1209" w:hanging="360"/>
      </w:pPr>
    </w:lvl>
  </w:abstractNum>
  <w:abstractNum w:abstractNumId="2">
    <w:nsid w:val="FFFFFF7E"/>
    <w:multiLevelType w:val="singleLevel"/>
    <w:tmpl w:val="0E2C2766"/>
    <w:lvl w:ilvl="0">
      <w:start w:val="1"/>
      <w:numFmt w:val="decimal"/>
      <w:lvlText w:val="%1."/>
      <w:lvlJc w:val="left"/>
      <w:pPr>
        <w:tabs>
          <w:tab w:val="num" w:pos="926"/>
        </w:tabs>
        <w:ind w:left="926" w:hanging="360"/>
      </w:pPr>
    </w:lvl>
  </w:abstractNum>
  <w:abstractNum w:abstractNumId="3">
    <w:nsid w:val="FFFFFF7F"/>
    <w:multiLevelType w:val="singleLevel"/>
    <w:tmpl w:val="BE486692"/>
    <w:lvl w:ilvl="0">
      <w:start w:val="1"/>
      <w:numFmt w:val="decimal"/>
      <w:lvlText w:val="%1."/>
      <w:lvlJc w:val="left"/>
      <w:pPr>
        <w:tabs>
          <w:tab w:val="num" w:pos="643"/>
        </w:tabs>
        <w:ind w:left="643" w:hanging="360"/>
      </w:pPr>
    </w:lvl>
  </w:abstractNum>
  <w:abstractNum w:abstractNumId="4">
    <w:nsid w:val="FFFFFF88"/>
    <w:multiLevelType w:val="singleLevel"/>
    <w:tmpl w:val="8D9AB682"/>
    <w:lvl w:ilvl="0">
      <w:start w:val="1"/>
      <w:numFmt w:val="decimal"/>
      <w:pStyle w:val="ListNumber"/>
      <w:lvlText w:val="%1."/>
      <w:lvlJc w:val="left"/>
      <w:pPr>
        <w:tabs>
          <w:tab w:val="num" w:pos="360"/>
        </w:tabs>
        <w:ind w:left="360" w:hanging="360"/>
      </w:pPr>
    </w:lvl>
  </w:abstractNum>
  <w:abstractNum w:abstractNumId="5">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abstractNum w:abstractNumId="6">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C70"/>
    <w:rsid w:val="00007C0A"/>
    <w:rsid w:val="000227FD"/>
    <w:rsid w:val="00033812"/>
    <w:rsid w:val="00062176"/>
    <w:rsid w:val="000C1D33"/>
    <w:rsid w:val="00113765"/>
    <w:rsid w:val="00124B60"/>
    <w:rsid w:val="00135DF4"/>
    <w:rsid w:val="001434C8"/>
    <w:rsid w:val="001817D2"/>
    <w:rsid w:val="001A1E84"/>
    <w:rsid w:val="001B1BBA"/>
    <w:rsid w:val="00230ACA"/>
    <w:rsid w:val="002574EB"/>
    <w:rsid w:val="002752A2"/>
    <w:rsid w:val="002C23A6"/>
    <w:rsid w:val="002D7B42"/>
    <w:rsid w:val="002E32FB"/>
    <w:rsid w:val="002F4E62"/>
    <w:rsid w:val="0030415F"/>
    <w:rsid w:val="003068BF"/>
    <w:rsid w:val="00324E7E"/>
    <w:rsid w:val="00373109"/>
    <w:rsid w:val="00393A1E"/>
    <w:rsid w:val="003E5935"/>
    <w:rsid w:val="003F7C70"/>
    <w:rsid w:val="004D367F"/>
    <w:rsid w:val="004D5AAA"/>
    <w:rsid w:val="004E1552"/>
    <w:rsid w:val="00535F91"/>
    <w:rsid w:val="005400A1"/>
    <w:rsid w:val="0056194D"/>
    <w:rsid w:val="00573246"/>
    <w:rsid w:val="00577A9B"/>
    <w:rsid w:val="0059351B"/>
    <w:rsid w:val="005A24DC"/>
    <w:rsid w:val="005A38FA"/>
    <w:rsid w:val="005F343C"/>
    <w:rsid w:val="00604570"/>
    <w:rsid w:val="006172EE"/>
    <w:rsid w:val="0063447C"/>
    <w:rsid w:val="00634C68"/>
    <w:rsid w:val="00637765"/>
    <w:rsid w:val="00647C06"/>
    <w:rsid w:val="00650761"/>
    <w:rsid w:val="006E742B"/>
    <w:rsid w:val="006F411B"/>
    <w:rsid w:val="00727D77"/>
    <w:rsid w:val="00763708"/>
    <w:rsid w:val="00767801"/>
    <w:rsid w:val="00780853"/>
    <w:rsid w:val="007B46A4"/>
    <w:rsid w:val="007B51E1"/>
    <w:rsid w:val="00810DE4"/>
    <w:rsid w:val="00811CB4"/>
    <w:rsid w:val="00821F13"/>
    <w:rsid w:val="008343FB"/>
    <w:rsid w:val="00837FF3"/>
    <w:rsid w:val="00876742"/>
    <w:rsid w:val="00896E9D"/>
    <w:rsid w:val="008C26F1"/>
    <w:rsid w:val="008D49DE"/>
    <w:rsid w:val="00905516"/>
    <w:rsid w:val="009348C9"/>
    <w:rsid w:val="009467DB"/>
    <w:rsid w:val="00977D34"/>
    <w:rsid w:val="00981D98"/>
    <w:rsid w:val="0098534C"/>
    <w:rsid w:val="009D0ADA"/>
    <w:rsid w:val="00A037BB"/>
    <w:rsid w:val="00A22C28"/>
    <w:rsid w:val="00AA3BE0"/>
    <w:rsid w:val="00AD5E11"/>
    <w:rsid w:val="00B72423"/>
    <w:rsid w:val="00B73F28"/>
    <w:rsid w:val="00BA3F5C"/>
    <w:rsid w:val="00BA78E3"/>
    <w:rsid w:val="00BE42A6"/>
    <w:rsid w:val="00BF5DCE"/>
    <w:rsid w:val="00C22BED"/>
    <w:rsid w:val="00C3773E"/>
    <w:rsid w:val="00C928F3"/>
    <w:rsid w:val="00CB5629"/>
    <w:rsid w:val="00CB7274"/>
    <w:rsid w:val="00CF2C46"/>
    <w:rsid w:val="00CF4231"/>
    <w:rsid w:val="00D367DF"/>
    <w:rsid w:val="00D46D62"/>
    <w:rsid w:val="00D7031E"/>
    <w:rsid w:val="00DB13C6"/>
    <w:rsid w:val="00DE5FBE"/>
    <w:rsid w:val="00E01480"/>
    <w:rsid w:val="00E1031A"/>
    <w:rsid w:val="00E16D10"/>
    <w:rsid w:val="00E20E29"/>
    <w:rsid w:val="00E616A6"/>
    <w:rsid w:val="00E61745"/>
    <w:rsid w:val="00E630F0"/>
    <w:rsid w:val="00E66913"/>
    <w:rsid w:val="00E74B42"/>
    <w:rsid w:val="00E80BA5"/>
    <w:rsid w:val="00E82282"/>
    <w:rsid w:val="00EA7DA1"/>
    <w:rsid w:val="00EB2B02"/>
    <w:rsid w:val="00ED566E"/>
    <w:rsid w:val="00EF16AE"/>
    <w:rsid w:val="00F175F5"/>
    <w:rsid w:val="00F20B26"/>
    <w:rsid w:val="00F64DDA"/>
    <w:rsid w:val="00F71F64"/>
    <w:rsid w:val="00F861BC"/>
    <w:rsid w:val="00FD774B"/>
    <w:rsid w:val="00FE6A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686E9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ヒラギノ角ゴ Pro W3" w:hAnsi="Calibri"/>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200" w:line="276" w:lineRule="auto"/>
    </w:pPr>
    <w:rPr>
      <w:rFonts w:ascii="Calibri" w:eastAsia="ヒラギノ角ゴ Pro W3" w:hAnsi="Calibri"/>
      <w:color w:val="000000"/>
      <w:sz w:val="22"/>
    </w:rPr>
  </w:style>
  <w:style w:type="paragraph" w:customStyle="1" w:styleId="Heading11">
    <w:name w:val="Heading 11"/>
    <w:next w:val="Normal"/>
    <w:rsid w:val="00634C68"/>
    <w:pPr>
      <w:keepNext/>
      <w:keepLines/>
      <w:spacing w:after="120" w:line="276" w:lineRule="auto"/>
      <w:outlineLvl w:val="0"/>
    </w:pPr>
    <w:rPr>
      <w:rFonts w:ascii="Cambria Bold" w:eastAsia="ヒラギノ角ゴ Pro W3" w:hAnsi="Cambria Bold"/>
      <w:color w:val="2A4982"/>
      <w:sz w:val="28"/>
    </w:rPr>
  </w:style>
  <w:style w:type="paragraph" w:styleId="ListParagraph">
    <w:name w:val="List Paragraph"/>
    <w:aliases w:val="List Paragraph No"/>
    <w:qFormat/>
    <w:pPr>
      <w:spacing w:after="200" w:line="276" w:lineRule="auto"/>
      <w:ind w:left="720"/>
    </w:pPr>
    <w:rPr>
      <w:rFonts w:ascii="Calibri" w:eastAsia="ヒラギノ角ゴ Pro W3" w:hAnsi="Calibri"/>
      <w:color w:val="000000"/>
      <w:sz w:val="22"/>
    </w:rPr>
  </w:style>
  <w:style w:type="numbering" w:customStyle="1" w:styleId="List1">
    <w:name w:val="List 1"/>
  </w:style>
  <w:style w:type="table" w:styleId="TableGrid">
    <w:name w:val="Table Grid"/>
    <w:basedOn w:val="TableNormal"/>
    <w:locked/>
    <w:rsid w:val="00230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link w:val="ParagraphChar"/>
    <w:rsid w:val="00727D77"/>
    <w:pPr>
      <w:spacing w:before="60" w:after="0" w:line="240" w:lineRule="auto"/>
      <w:ind w:firstLine="170"/>
      <w:jc w:val="both"/>
    </w:pPr>
    <w:rPr>
      <w:rFonts w:ascii="Times New Roman" w:eastAsia="Times New Roman" w:hAnsi="Times New Roman"/>
      <w:color w:val="auto"/>
      <w:sz w:val="24"/>
      <w:szCs w:val="20"/>
    </w:rPr>
  </w:style>
  <w:style w:type="character" w:customStyle="1" w:styleId="ParagraphChar">
    <w:name w:val="Paragraph Char"/>
    <w:link w:val="Paragraph"/>
    <w:rsid w:val="00727D77"/>
    <w:rPr>
      <w:sz w:val="24"/>
    </w:rPr>
  </w:style>
  <w:style w:type="paragraph" w:styleId="ListNumber">
    <w:name w:val="List Number"/>
    <w:basedOn w:val="Normal"/>
    <w:locked/>
    <w:rsid w:val="00CF2C46"/>
    <w:pPr>
      <w:numPr>
        <w:numId w:val="7"/>
      </w:numPr>
      <w:spacing w:line="240" w:lineRule="auto"/>
      <w:ind w:left="357" w:hanging="357"/>
      <w:contextualSpacing/>
    </w:pPr>
    <w:rPr>
      <w:color w:val="0000FF"/>
    </w:rPr>
  </w:style>
  <w:style w:type="paragraph" w:styleId="BalloonText">
    <w:name w:val="Balloon Text"/>
    <w:basedOn w:val="Normal"/>
    <w:link w:val="BalloonTextChar"/>
    <w:locked/>
    <w:rsid w:val="008D4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8D49DE"/>
    <w:rPr>
      <w:rFonts w:ascii="Lucida Grande" w:eastAsia="ヒラギノ角ゴ Pro W3" w:hAnsi="Lucida Grande" w:cs="Lucida Grande"/>
      <w:color w:val="000000"/>
      <w:sz w:val="18"/>
      <w:szCs w:val="18"/>
    </w:rPr>
  </w:style>
  <w:style w:type="paragraph" w:styleId="Footer">
    <w:name w:val="footer"/>
    <w:basedOn w:val="Normal"/>
    <w:link w:val="FooterChar"/>
    <w:locked/>
    <w:rsid w:val="00E61745"/>
    <w:pPr>
      <w:tabs>
        <w:tab w:val="center" w:pos="4320"/>
        <w:tab w:val="right" w:pos="8640"/>
      </w:tabs>
      <w:spacing w:after="0" w:line="240" w:lineRule="auto"/>
    </w:pPr>
  </w:style>
  <w:style w:type="character" w:customStyle="1" w:styleId="FooterChar">
    <w:name w:val="Footer Char"/>
    <w:basedOn w:val="DefaultParagraphFont"/>
    <w:link w:val="Footer"/>
    <w:rsid w:val="00E61745"/>
    <w:rPr>
      <w:rFonts w:ascii="Calibri" w:eastAsia="ヒラギノ角ゴ Pro W3" w:hAnsi="Calibri"/>
      <w:color w:val="000000"/>
      <w:sz w:val="22"/>
      <w:szCs w:val="24"/>
    </w:rPr>
  </w:style>
  <w:style w:type="character" w:styleId="PageNumber">
    <w:name w:val="page number"/>
    <w:basedOn w:val="DefaultParagraphFont"/>
    <w:locked/>
    <w:rsid w:val="00E617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ヒラギノ角ゴ Pro W3" w:hAnsi="Calibri"/>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200" w:line="276" w:lineRule="auto"/>
    </w:pPr>
    <w:rPr>
      <w:rFonts w:ascii="Calibri" w:eastAsia="ヒラギノ角ゴ Pro W3" w:hAnsi="Calibri"/>
      <w:color w:val="000000"/>
      <w:sz w:val="22"/>
    </w:rPr>
  </w:style>
  <w:style w:type="paragraph" w:customStyle="1" w:styleId="Heading11">
    <w:name w:val="Heading 11"/>
    <w:next w:val="Normal"/>
    <w:rsid w:val="00634C68"/>
    <w:pPr>
      <w:keepNext/>
      <w:keepLines/>
      <w:spacing w:after="120" w:line="276" w:lineRule="auto"/>
      <w:outlineLvl w:val="0"/>
    </w:pPr>
    <w:rPr>
      <w:rFonts w:ascii="Cambria Bold" w:eastAsia="ヒラギノ角ゴ Pro W3" w:hAnsi="Cambria Bold"/>
      <w:color w:val="2A4982"/>
      <w:sz w:val="28"/>
    </w:rPr>
  </w:style>
  <w:style w:type="paragraph" w:styleId="ListParagraph">
    <w:name w:val="List Paragraph"/>
    <w:aliases w:val="List Paragraph No"/>
    <w:qFormat/>
    <w:pPr>
      <w:spacing w:after="200" w:line="276" w:lineRule="auto"/>
      <w:ind w:left="720"/>
    </w:pPr>
    <w:rPr>
      <w:rFonts w:ascii="Calibri" w:eastAsia="ヒラギノ角ゴ Pro W3" w:hAnsi="Calibri"/>
      <w:color w:val="000000"/>
      <w:sz w:val="22"/>
    </w:rPr>
  </w:style>
  <w:style w:type="numbering" w:customStyle="1" w:styleId="List1">
    <w:name w:val="List 1"/>
  </w:style>
  <w:style w:type="table" w:styleId="TableGrid">
    <w:name w:val="Table Grid"/>
    <w:basedOn w:val="TableNormal"/>
    <w:locked/>
    <w:rsid w:val="00230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link w:val="ParagraphChar"/>
    <w:rsid w:val="00727D77"/>
    <w:pPr>
      <w:spacing w:before="60" w:after="0" w:line="240" w:lineRule="auto"/>
      <w:ind w:firstLine="170"/>
      <w:jc w:val="both"/>
    </w:pPr>
    <w:rPr>
      <w:rFonts w:ascii="Times New Roman" w:eastAsia="Times New Roman" w:hAnsi="Times New Roman"/>
      <w:color w:val="auto"/>
      <w:sz w:val="24"/>
      <w:szCs w:val="20"/>
    </w:rPr>
  </w:style>
  <w:style w:type="character" w:customStyle="1" w:styleId="ParagraphChar">
    <w:name w:val="Paragraph Char"/>
    <w:link w:val="Paragraph"/>
    <w:rsid w:val="00727D77"/>
    <w:rPr>
      <w:sz w:val="24"/>
    </w:rPr>
  </w:style>
  <w:style w:type="paragraph" w:styleId="ListNumber">
    <w:name w:val="List Number"/>
    <w:basedOn w:val="Normal"/>
    <w:locked/>
    <w:rsid w:val="00CF2C46"/>
    <w:pPr>
      <w:numPr>
        <w:numId w:val="7"/>
      </w:numPr>
      <w:spacing w:line="240" w:lineRule="auto"/>
      <w:ind w:left="357" w:hanging="357"/>
      <w:contextualSpacing/>
    </w:pPr>
    <w:rPr>
      <w:color w:val="0000FF"/>
    </w:rPr>
  </w:style>
  <w:style w:type="paragraph" w:styleId="BalloonText">
    <w:name w:val="Balloon Text"/>
    <w:basedOn w:val="Normal"/>
    <w:link w:val="BalloonTextChar"/>
    <w:locked/>
    <w:rsid w:val="008D4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8D49DE"/>
    <w:rPr>
      <w:rFonts w:ascii="Lucida Grande" w:eastAsia="ヒラギノ角ゴ Pro W3" w:hAnsi="Lucida Grande" w:cs="Lucida Grande"/>
      <w:color w:val="000000"/>
      <w:sz w:val="18"/>
      <w:szCs w:val="18"/>
    </w:rPr>
  </w:style>
  <w:style w:type="paragraph" w:styleId="Footer">
    <w:name w:val="footer"/>
    <w:basedOn w:val="Normal"/>
    <w:link w:val="FooterChar"/>
    <w:locked/>
    <w:rsid w:val="00E61745"/>
    <w:pPr>
      <w:tabs>
        <w:tab w:val="center" w:pos="4320"/>
        <w:tab w:val="right" w:pos="8640"/>
      </w:tabs>
      <w:spacing w:after="0" w:line="240" w:lineRule="auto"/>
    </w:pPr>
  </w:style>
  <w:style w:type="character" w:customStyle="1" w:styleId="FooterChar">
    <w:name w:val="Footer Char"/>
    <w:basedOn w:val="DefaultParagraphFont"/>
    <w:link w:val="Footer"/>
    <w:rsid w:val="00E61745"/>
    <w:rPr>
      <w:rFonts w:ascii="Calibri" w:eastAsia="ヒラギノ角ゴ Pro W3" w:hAnsi="Calibri"/>
      <w:color w:val="000000"/>
      <w:sz w:val="22"/>
      <w:szCs w:val="24"/>
    </w:rPr>
  </w:style>
  <w:style w:type="character" w:styleId="PageNumber">
    <w:name w:val="page number"/>
    <w:basedOn w:val="DefaultParagraphFont"/>
    <w:locked/>
    <w:rsid w:val="00E61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70765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3083</Words>
  <Characters>17574</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20616</CharactersWithSpaces>
  <SharedDoc>false</SharedDoc>
  <HLinks>
    <vt:vector size="12" baseType="variant">
      <vt:variant>
        <vt:i4>7012468</vt:i4>
      </vt:variant>
      <vt:variant>
        <vt:i4>17813</vt:i4>
      </vt:variant>
      <vt:variant>
        <vt:i4>1025</vt:i4>
      </vt:variant>
      <vt:variant>
        <vt:i4>1</vt:i4>
      </vt:variant>
      <vt:variant>
        <vt:lpwstr>TK</vt:lpwstr>
      </vt:variant>
      <vt:variant>
        <vt:lpwstr/>
      </vt:variant>
      <vt:variant>
        <vt:i4>8060972</vt:i4>
      </vt:variant>
      <vt:variant>
        <vt:i4>17834</vt:i4>
      </vt:variant>
      <vt:variant>
        <vt:i4>1026</vt:i4>
      </vt:variant>
      <vt:variant>
        <vt:i4>1</vt:i4>
      </vt:variant>
      <vt:variant>
        <vt:lpwstr>2015ECAL-OrganizationChart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Barr</dc:creator>
  <cp:keywords/>
  <cp:lastModifiedBy>Geoff Hall</cp:lastModifiedBy>
  <cp:revision>4</cp:revision>
  <cp:lastPrinted>2015-03-24T17:38:00Z</cp:lastPrinted>
  <dcterms:created xsi:type="dcterms:W3CDTF">2015-03-24T17:38:00Z</dcterms:created>
  <dcterms:modified xsi:type="dcterms:W3CDTF">2015-03-24T17:45:00Z</dcterms:modified>
</cp:coreProperties>
</file>