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DFE9E2" w14:textId="77777777" w:rsidR="009E0270" w:rsidRDefault="009E0270" w:rsidP="00760379">
      <w:pPr>
        <w:pStyle w:val="Heading1"/>
      </w:pPr>
      <w:r>
        <w:t>Questions</w:t>
      </w:r>
      <w:r w:rsidR="00520BC6">
        <w:t>/clarifications</w:t>
      </w:r>
      <w:r>
        <w:t xml:space="preserve"> for the CMS UK experiment</w:t>
      </w:r>
    </w:p>
    <w:p w14:paraId="6D1C3646" w14:textId="77777777" w:rsidR="00760379" w:rsidRPr="00760379" w:rsidRDefault="00760379" w:rsidP="00760379"/>
    <w:p w14:paraId="6E5B1DF4" w14:textId="77777777" w:rsidR="00CB3476" w:rsidRPr="00717AEA" w:rsidRDefault="004D10CE" w:rsidP="00D93195">
      <w:pPr>
        <w:pStyle w:val="ListParagraph"/>
        <w:numPr>
          <w:ilvl w:val="0"/>
          <w:numId w:val="2"/>
        </w:numPr>
        <w:rPr>
          <w:rFonts w:cstheme="minorHAnsi"/>
          <w:color w:val="000090"/>
          <w:sz w:val="22"/>
          <w:szCs w:val="22"/>
        </w:rPr>
      </w:pPr>
      <w:r w:rsidRPr="00717AEA">
        <w:rPr>
          <w:rFonts w:cstheme="minorHAnsi"/>
          <w:color w:val="000090"/>
          <w:sz w:val="22"/>
          <w:szCs w:val="22"/>
        </w:rPr>
        <w:t xml:space="preserve">Vacuum: </w:t>
      </w:r>
      <w:r w:rsidR="00CB3476" w:rsidRPr="00717AEA">
        <w:rPr>
          <w:rFonts w:cstheme="minorHAnsi"/>
          <w:color w:val="000090"/>
          <w:sz w:val="22"/>
          <w:szCs w:val="22"/>
        </w:rPr>
        <w:t xml:space="preserve">Concerning the vacuum problems seen in the 2010 and 2011 runs, please report </w:t>
      </w:r>
      <w:r w:rsidRPr="00717AEA">
        <w:rPr>
          <w:rFonts w:cstheme="minorHAnsi"/>
          <w:color w:val="000090"/>
          <w:sz w:val="22"/>
          <w:szCs w:val="22"/>
        </w:rPr>
        <w:t xml:space="preserve"> </w:t>
      </w:r>
      <w:r w:rsidR="00CB3476" w:rsidRPr="00717AEA">
        <w:rPr>
          <w:rFonts w:cstheme="minorHAnsi"/>
          <w:color w:val="000090"/>
          <w:sz w:val="22"/>
          <w:szCs w:val="22"/>
        </w:rPr>
        <w:t xml:space="preserve">on any initial findings </w:t>
      </w:r>
      <w:r w:rsidR="0063369C" w:rsidRPr="00717AEA">
        <w:rPr>
          <w:rFonts w:cstheme="minorHAnsi"/>
          <w:color w:val="000090"/>
          <w:sz w:val="22"/>
          <w:szCs w:val="22"/>
        </w:rPr>
        <w:t xml:space="preserve">of improvements or otherwise </w:t>
      </w:r>
      <w:r w:rsidR="00CB3476" w:rsidRPr="00717AEA">
        <w:rPr>
          <w:rFonts w:cstheme="minorHAnsi"/>
          <w:color w:val="000090"/>
          <w:sz w:val="22"/>
          <w:szCs w:val="22"/>
        </w:rPr>
        <w:t xml:space="preserve">from the 2012 </w:t>
      </w:r>
      <w:r w:rsidR="00180921" w:rsidRPr="00717AEA">
        <w:rPr>
          <w:rFonts w:cstheme="minorHAnsi"/>
          <w:color w:val="000090"/>
          <w:sz w:val="22"/>
          <w:szCs w:val="22"/>
        </w:rPr>
        <w:t xml:space="preserve">LHC </w:t>
      </w:r>
      <w:r w:rsidR="00CB3476" w:rsidRPr="00717AEA">
        <w:rPr>
          <w:rFonts w:cstheme="minorHAnsi"/>
          <w:color w:val="000090"/>
          <w:sz w:val="22"/>
          <w:szCs w:val="22"/>
        </w:rPr>
        <w:t>beam commissioning runs</w:t>
      </w:r>
    </w:p>
    <w:p w14:paraId="389903AA" w14:textId="77777777" w:rsidR="00717AEA" w:rsidRPr="00717AEA" w:rsidRDefault="00717AEA" w:rsidP="00717AEA">
      <w:pPr>
        <w:pStyle w:val="ListParagraph"/>
        <w:rPr>
          <w:rFonts w:cstheme="minorHAnsi"/>
          <w:color w:val="000090"/>
          <w:sz w:val="22"/>
          <w:szCs w:val="22"/>
        </w:rPr>
      </w:pPr>
    </w:p>
    <w:p w14:paraId="612E6B7F" w14:textId="7EDEA629" w:rsidR="00717AEA" w:rsidRDefault="00B51EF3" w:rsidP="00717AEA">
      <w:pPr>
        <w:pStyle w:val="ListParagraph"/>
        <w:rPr>
          <w:rFonts w:cstheme="minorHAnsi"/>
          <w:sz w:val="22"/>
          <w:szCs w:val="22"/>
        </w:rPr>
      </w:pPr>
      <w:r>
        <w:rPr>
          <w:rFonts w:cstheme="minorHAnsi"/>
          <w:sz w:val="22"/>
          <w:szCs w:val="22"/>
        </w:rPr>
        <w:t xml:space="preserve">A: </w:t>
      </w:r>
      <w:r w:rsidR="00717AEA" w:rsidRPr="00717AEA">
        <w:rPr>
          <w:rFonts w:cstheme="minorHAnsi"/>
          <w:sz w:val="22"/>
          <w:szCs w:val="22"/>
        </w:rPr>
        <w:t>The figure</w:t>
      </w:r>
      <w:r w:rsidR="00717AEA">
        <w:rPr>
          <w:rFonts w:cstheme="minorHAnsi"/>
          <w:sz w:val="22"/>
          <w:szCs w:val="22"/>
        </w:rPr>
        <w:t xml:space="preserve"> below was taken from the CMS General Weekly meeting report of 4 April, and the results seem to confirm a good quality vacuum.</w:t>
      </w:r>
    </w:p>
    <w:p w14:paraId="186D2AB2" w14:textId="728E0207" w:rsidR="00CB3476" w:rsidRPr="00717AEA" w:rsidRDefault="00717AEA" w:rsidP="00CB3476">
      <w:pPr>
        <w:pStyle w:val="ListParagraph"/>
        <w:rPr>
          <w:rFonts w:cstheme="minorHAnsi"/>
          <w:color w:val="000090"/>
          <w:sz w:val="22"/>
          <w:szCs w:val="22"/>
        </w:rPr>
      </w:pPr>
      <w:r>
        <w:rPr>
          <w:rFonts w:cstheme="minorHAnsi"/>
          <w:noProof/>
          <w:sz w:val="22"/>
          <w:szCs w:val="22"/>
          <w:lang w:val="en-US"/>
        </w:rPr>
        <w:drawing>
          <wp:inline distT="0" distB="0" distL="0" distR="0" wp14:anchorId="758D24EE" wp14:editId="42CEBE5D">
            <wp:extent cx="5731510" cy="4050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_vacuum.pdf"/>
                    <pic:cNvPicPr/>
                  </pic:nvPicPr>
                  <pic:blipFill>
                    <a:blip r:embed="rId8">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r>
        <w:rPr>
          <w:rFonts w:cstheme="minorHAnsi"/>
          <w:sz w:val="22"/>
          <w:szCs w:val="22"/>
        </w:rPr>
        <w:t xml:space="preserve"> </w:t>
      </w:r>
    </w:p>
    <w:p w14:paraId="2F0B9B06" w14:textId="77777777" w:rsidR="00825A31" w:rsidRDefault="00825A31" w:rsidP="00825A31">
      <w:pPr>
        <w:pStyle w:val="ListParagraph"/>
        <w:numPr>
          <w:ilvl w:val="0"/>
          <w:numId w:val="2"/>
        </w:numPr>
        <w:rPr>
          <w:rFonts w:cstheme="minorHAnsi"/>
          <w:color w:val="000090"/>
          <w:sz w:val="22"/>
          <w:szCs w:val="22"/>
        </w:rPr>
      </w:pPr>
      <w:r w:rsidRPr="00717AEA">
        <w:rPr>
          <w:rFonts w:cstheme="minorHAnsi"/>
          <w:color w:val="000090"/>
          <w:sz w:val="22"/>
          <w:szCs w:val="22"/>
        </w:rPr>
        <w:t>Tracker: FED boards where some parts are not replaceable.  What, if any, actions are being taken to ensure continuing long-term operations are not affected</w:t>
      </w:r>
      <w:r w:rsidR="00704B91" w:rsidRPr="00717AEA">
        <w:rPr>
          <w:rFonts w:cstheme="minorHAnsi"/>
          <w:color w:val="000090"/>
          <w:sz w:val="22"/>
          <w:szCs w:val="22"/>
        </w:rPr>
        <w:t xml:space="preserve"> by future failures</w:t>
      </w:r>
      <w:r w:rsidRPr="00717AEA">
        <w:rPr>
          <w:rFonts w:cstheme="minorHAnsi"/>
          <w:color w:val="000090"/>
          <w:sz w:val="22"/>
          <w:szCs w:val="22"/>
        </w:rPr>
        <w:t>?</w:t>
      </w:r>
    </w:p>
    <w:p w14:paraId="7567846D" w14:textId="77777777" w:rsidR="00B51EF3" w:rsidRDefault="00B51EF3" w:rsidP="00B51EF3">
      <w:pPr>
        <w:pStyle w:val="ListParagraph"/>
        <w:rPr>
          <w:rFonts w:cstheme="minorHAnsi"/>
          <w:sz w:val="22"/>
          <w:szCs w:val="22"/>
        </w:rPr>
      </w:pPr>
    </w:p>
    <w:p w14:paraId="1F5040D0" w14:textId="6F2FA5F5" w:rsidR="00B51EF3" w:rsidRPr="00B51EF3" w:rsidRDefault="00B51EF3" w:rsidP="00B51EF3">
      <w:pPr>
        <w:pStyle w:val="ListParagraph"/>
        <w:rPr>
          <w:rFonts w:cstheme="minorHAnsi"/>
          <w:sz w:val="22"/>
          <w:szCs w:val="22"/>
        </w:rPr>
      </w:pPr>
      <w:r>
        <w:rPr>
          <w:rFonts w:cstheme="minorHAnsi"/>
          <w:sz w:val="22"/>
          <w:szCs w:val="22"/>
        </w:rPr>
        <w:t>A: The main action we can take is only careful monitoring of the status of the boards</w:t>
      </w:r>
      <w:r w:rsidR="000B42F6">
        <w:rPr>
          <w:rFonts w:cstheme="minorHAnsi"/>
          <w:sz w:val="22"/>
          <w:szCs w:val="22"/>
        </w:rPr>
        <w:t>, which naturally follows closely the DAQ activity we are responsible for</w:t>
      </w:r>
      <w:r>
        <w:rPr>
          <w:rFonts w:cstheme="minorHAnsi"/>
          <w:sz w:val="22"/>
          <w:szCs w:val="22"/>
        </w:rPr>
        <w:t xml:space="preserve">. </w:t>
      </w:r>
      <w:r w:rsidR="000B42F6">
        <w:rPr>
          <w:rFonts w:cstheme="minorHAnsi"/>
          <w:sz w:val="22"/>
          <w:szCs w:val="22"/>
        </w:rPr>
        <w:t xml:space="preserve">Up to now </w:t>
      </w:r>
      <w:r>
        <w:rPr>
          <w:rFonts w:cstheme="minorHAnsi"/>
          <w:sz w:val="22"/>
          <w:szCs w:val="22"/>
        </w:rPr>
        <w:t xml:space="preserve">the reliability of the boards </w:t>
      </w:r>
      <w:r w:rsidR="000B42F6">
        <w:rPr>
          <w:rFonts w:cstheme="minorHAnsi"/>
          <w:sz w:val="22"/>
          <w:szCs w:val="22"/>
        </w:rPr>
        <w:t xml:space="preserve">(over about five years) </w:t>
      </w:r>
      <w:r>
        <w:rPr>
          <w:rFonts w:cstheme="minorHAnsi"/>
          <w:sz w:val="22"/>
          <w:szCs w:val="22"/>
        </w:rPr>
        <w:t xml:space="preserve">has been excellent. Only small repairable problems have been encountered and none with the optical receivers. We did aim to procure a generous margin of spares and, although this was limited by </w:t>
      </w:r>
      <w:r w:rsidR="000B42F6">
        <w:rPr>
          <w:rFonts w:cstheme="minorHAnsi"/>
          <w:sz w:val="22"/>
          <w:szCs w:val="22"/>
        </w:rPr>
        <w:t>cost</w:t>
      </w:r>
      <w:r>
        <w:rPr>
          <w:rFonts w:cstheme="minorHAnsi"/>
          <w:sz w:val="22"/>
          <w:szCs w:val="22"/>
        </w:rPr>
        <w:t xml:space="preserve">, we have 60 fully equipped spare FEDs, compared to 440 needed for full Tracker operation, </w:t>
      </w:r>
      <w:proofErr w:type="spellStart"/>
      <w:r>
        <w:rPr>
          <w:rFonts w:cstheme="minorHAnsi"/>
          <w:sz w:val="22"/>
          <w:szCs w:val="22"/>
        </w:rPr>
        <w:t>ie</w:t>
      </w:r>
      <w:proofErr w:type="spellEnd"/>
      <w:r>
        <w:rPr>
          <w:rFonts w:cstheme="minorHAnsi"/>
          <w:sz w:val="22"/>
          <w:szCs w:val="22"/>
        </w:rPr>
        <w:t xml:space="preserve"> almost 15%.</w:t>
      </w:r>
    </w:p>
    <w:p w14:paraId="6B46FD09" w14:textId="77777777" w:rsidR="00825A31" w:rsidRPr="00717AEA" w:rsidRDefault="00825A31" w:rsidP="00825A31">
      <w:pPr>
        <w:pStyle w:val="ListParagraph"/>
        <w:rPr>
          <w:rFonts w:cstheme="minorHAnsi"/>
          <w:color w:val="000090"/>
          <w:sz w:val="22"/>
          <w:szCs w:val="22"/>
        </w:rPr>
      </w:pPr>
    </w:p>
    <w:p w14:paraId="1D662387" w14:textId="77777777" w:rsidR="00CB3476" w:rsidRDefault="004D10CE" w:rsidP="00CB3476">
      <w:pPr>
        <w:pStyle w:val="ListParagraph"/>
        <w:numPr>
          <w:ilvl w:val="0"/>
          <w:numId w:val="2"/>
        </w:numPr>
        <w:rPr>
          <w:rFonts w:cstheme="minorHAnsi"/>
          <w:color w:val="000090"/>
          <w:sz w:val="22"/>
          <w:szCs w:val="22"/>
        </w:rPr>
      </w:pPr>
      <w:r w:rsidRPr="00717AEA">
        <w:rPr>
          <w:rFonts w:cstheme="minorHAnsi"/>
          <w:color w:val="000090"/>
          <w:sz w:val="22"/>
          <w:szCs w:val="22"/>
        </w:rPr>
        <w:t xml:space="preserve">Tracker: </w:t>
      </w:r>
      <w:r w:rsidR="00CB3476" w:rsidRPr="00717AEA">
        <w:rPr>
          <w:rFonts w:cstheme="minorHAnsi"/>
          <w:color w:val="000090"/>
          <w:sz w:val="22"/>
          <w:szCs w:val="22"/>
        </w:rPr>
        <w:t xml:space="preserve">Please quantify the </w:t>
      </w:r>
      <w:r w:rsidR="00277F5A" w:rsidRPr="00717AEA">
        <w:rPr>
          <w:rFonts w:cstheme="minorHAnsi"/>
          <w:color w:val="000090"/>
          <w:sz w:val="22"/>
          <w:szCs w:val="22"/>
        </w:rPr>
        <w:t>rate</w:t>
      </w:r>
      <w:r w:rsidR="00CB3476" w:rsidRPr="00717AEA">
        <w:rPr>
          <w:rFonts w:cstheme="minorHAnsi"/>
          <w:color w:val="000090"/>
          <w:sz w:val="22"/>
          <w:szCs w:val="22"/>
        </w:rPr>
        <w:t xml:space="preserve"> of Tracker Single Event Errors</w:t>
      </w:r>
      <w:r w:rsidR="00277F5A" w:rsidRPr="00717AEA">
        <w:rPr>
          <w:rFonts w:cstheme="minorHAnsi"/>
          <w:color w:val="000090"/>
          <w:sz w:val="22"/>
          <w:szCs w:val="22"/>
        </w:rPr>
        <w:t xml:space="preserve"> found in the </w:t>
      </w:r>
      <w:r w:rsidR="00845D79" w:rsidRPr="00717AEA">
        <w:rPr>
          <w:rFonts w:cstheme="minorHAnsi"/>
          <w:color w:val="000090"/>
          <w:sz w:val="22"/>
          <w:szCs w:val="22"/>
        </w:rPr>
        <w:t>APV25s</w:t>
      </w:r>
      <w:r w:rsidR="009E0270" w:rsidRPr="00717AEA">
        <w:rPr>
          <w:rFonts w:cstheme="minorHAnsi"/>
          <w:color w:val="000090"/>
          <w:sz w:val="22"/>
          <w:szCs w:val="22"/>
        </w:rPr>
        <w:t>, and any trend observed with time or luminosity.</w:t>
      </w:r>
    </w:p>
    <w:p w14:paraId="2DF498B0" w14:textId="77777777" w:rsidR="00B51EF3" w:rsidRDefault="00B51EF3" w:rsidP="00B51EF3">
      <w:pPr>
        <w:pStyle w:val="ListParagraph"/>
        <w:rPr>
          <w:rFonts w:cstheme="minorHAnsi"/>
          <w:color w:val="000090"/>
          <w:sz w:val="22"/>
          <w:szCs w:val="22"/>
        </w:rPr>
      </w:pPr>
    </w:p>
    <w:p w14:paraId="75E8FD4F" w14:textId="77777777" w:rsidR="00A13EE1" w:rsidRDefault="00B51EF3" w:rsidP="00B51EF3">
      <w:pPr>
        <w:pStyle w:val="ListParagraph"/>
        <w:rPr>
          <w:rFonts w:cstheme="minorHAnsi"/>
          <w:sz w:val="22"/>
          <w:szCs w:val="22"/>
        </w:rPr>
      </w:pPr>
      <w:r>
        <w:rPr>
          <w:rFonts w:cstheme="minorHAnsi"/>
          <w:sz w:val="22"/>
          <w:szCs w:val="22"/>
        </w:rPr>
        <w:t xml:space="preserve">A: We are not able to calculate a precise rate of occurrence although we began to see evidence consistent with SEUs during 2011, and there appeared to be an increase correlated </w:t>
      </w:r>
      <w:r w:rsidR="00A449B0">
        <w:rPr>
          <w:rFonts w:cstheme="minorHAnsi"/>
          <w:sz w:val="22"/>
          <w:szCs w:val="22"/>
        </w:rPr>
        <w:t>with</w:t>
      </w:r>
      <w:r>
        <w:rPr>
          <w:rFonts w:cstheme="minorHAnsi"/>
          <w:sz w:val="22"/>
          <w:szCs w:val="22"/>
        </w:rPr>
        <w:t xml:space="preserve"> luminosity. We are continuing to study the observation but we believe it is roughly </w:t>
      </w:r>
      <w:r>
        <w:rPr>
          <w:rFonts w:cstheme="minorHAnsi"/>
          <w:sz w:val="22"/>
          <w:szCs w:val="22"/>
        </w:rPr>
        <w:lastRenderedPageBreak/>
        <w:t>consistent with estimates made and published in 2002, which was 100-200 SEUs per hour</w:t>
      </w:r>
      <w:r w:rsidR="0023073C">
        <w:rPr>
          <w:rFonts w:cstheme="minorHAnsi"/>
          <w:sz w:val="22"/>
          <w:szCs w:val="22"/>
        </w:rPr>
        <w:t>, depending on radial distance,</w:t>
      </w:r>
      <w:r>
        <w:rPr>
          <w:rFonts w:cstheme="minorHAnsi"/>
          <w:sz w:val="22"/>
          <w:szCs w:val="22"/>
        </w:rPr>
        <w:t xml:space="preserve"> at full LHC energy and luminosity. </w:t>
      </w:r>
    </w:p>
    <w:p w14:paraId="7B3563BC" w14:textId="77777777" w:rsidR="00A13EE1" w:rsidRDefault="00A13EE1" w:rsidP="00B51EF3">
      <w:pPr>
        <w:pStyle w:val="ListParagraph"/>
        <w:rPr>
          <w:rFonts w:cstheme="minorHAnsi"/>
          <w:sz w:val="22"/>
          <w:szCs w:val="22"/>
        </w:rPr>
      </w:pPr>
    </w:p>
    <w:p w14:paraId="1B926305" w14:textId="064AB604" w:rsidR="00B51EF3" w:rsidRPr="00B51EF3" w:rsidRDefault="00B51EF3" w:rsidP="00B51EF3">
      <w:pPr>
        <w:pStyle w:val="ListParagraph"/>
        <w:rPr>
          <w:rFonts w:cstheme="minorHAnsi"/>
          <w:sz w:val="22"/>
          <w:szCs w:val="22"/>
        </w:rPr>
      </w:pPr>
      <w:r>
        <w:rPr>
          <w:rFonts w:cstheme="minorHAnsi"/>
          <w:sz w:val="22"/>
          <w:szCs w:val="22"/>
        </w:rPr>
        <w:t xml:space="preserve">One reason that the number is hard to establish accurately is that, because of the effect of beam-gas interactions on the pixel detector and subsequent frequent resynchronisation of CMS systems, soft resets which </w:t>
      </w:r>
      <w:r w:rsidR="0023073C">
        <w:rPr>
          <w:rFonts w:cstheme="minorHAnsi"/>
          <w:sz w:val="22"/>
          <w:szCs w:val="22"/>
        </w:rPr>
        <w:t>rewrite</w:t>
      </w:r>
      <w:r>
        <w:rPr>
          <w:rFonts w:cstheme="minorHAnsi"/>
          <w:sz w:val="22"/>
          <w:szCs w:val="22"/>
        </w:rPr>
        <w:t xml:space="preserve"> registers on the APV25 chips are issued during a run at irregular intervals. However, an APV pipeline address error flag is only read out and recorded following a </w:t>
      </w:r>
      <w:r w:rsidR="00F212EA">
        <w:rPr>
          <w:rFonts w:cstheme="minorHAnsi"/>
          <w:sz w:val="22"/>
          <w:szCs w:val="22"/>
        </w:rPr>
        <w:t xml:space="preserve">L1 </w:t>
      </w:r>
      <w:r>
        <w:rPr>
          <w:rFonts w:cstheme="minorHAnsi"/>
          <w:sz w:val="22"/>
          <w:szCs w:val="22"/>
        </w:rPr>
        <w:t xml:space="preserve">physics trigger so we cannot be sure how many errors have actually occurred. </w:t>
      </w:r>
      <w:r w:rsidR="00F212EA">
        <w:rPr>
          <w:rFonts w:cstheme="minorHAnsi"/>
          <w:sz w:val="22"/>
          <w:szCs w:val="22"/>
        </w:rPr>
        <w:t>At the time of</w:t>
      </w:r>
      <w:r>
        <w:rPr>
          <w:rFonts w:cstheme="minorHAnsi"/>
          <w:sz w:val="22"/>
          <w:szCs w:val="22"/>
        </w:rPr>
        <w:t xml:space="preserve"> the system design, re-synchronisation during a run was not expected to take place. In any case, it mitigates the impact of SEUs, so is actually beneficial.</w:t>
      </w:r>
    </w:p>
    <w:p w14:paraId="726DC330" w14:textId="77777777" w:rsidR="00CB3476" w:rsidRPr="00717AEA" w:rsidRDefault="00CB3476" w:rsidP="00CB3476">
      <w:pPr>
        <w:pStyle w:val="ListParagraph"/>
        <w:rPr>
          <w:rFonts w:cstheme="minorHAnsi"/>
          <w:color w:val="000090"/>
          <w:sz w:val="22"/>
          <w:szCs w:val="22"/>
        </w:rPr>
      </w:pPr>
    </w:p>
    <w:p w14:paraId="77E5FDC6" w14:textId="77777777" w:rsidR="00CB3476" w:rsidRPr="00717AEA" w:rsidRDefault="004D10CE" w:rsidP="00CB3476">
      <w:pPr>
        <w:pStyle w:val="ListParagraph"/>
        <w:numPr>
          <w:ilvl w:val="0"/>
          <w:numId w:val="2"/>
        </w:numPr>
        <w:rPr>
          <w:rFonts w:cstheme="minorHAnsi"/>
          <w:color w:val="000090"/>
          <w:sz w:val="22"/>
          <w:szCs w:val="22"/>
        </w:rPr>
      </w:pPr>
      <w:r w:rsidRPr="00717AEA">
        <w:rPr>
          <w:rFonts w:cstheme="minorHAnsi"/>
          <w:color w:val="000090"/>
          <w:sz w:val="22"/>
          <w:szCs w:val="22"/>
        </w:rPr>
        <w:t xml:space="preserve">ECAL: </w:t>
      </w:r>
      <w:r w:rsidR="0083396D" w:rsidRPr="00717AEA">
        <w:rPr>
          <w:rFonts w:cstheme="minorHAnsi"/>
          <w:color w:val="000090"/>
          <w:sz w:val="22"/>
          <w:szCs w:val="22"/>
        </w:rPr>
        <w:t xml:space="preserve">Please clarify what is meant by “cover for possible dismounting” in the ECAL section, in terms of </w:t>
      </w:r>
      <w:r w:rsidR="009E0270" w:rsidRPr="00717AEA">
        <w:rPr>
          <w:rFonts w:cstheme="minorHAnsi"/>
          <w:color w:val="000090"/>
          <w:sz w:val="22"/>
          <w:szCs w:val="22"/>
        </w:rPr>
        <w:t xml:space="preserve">risk, </w:t>
      </w:r>
      <w:r w:rsidR="0083396D" w:rsidRPr="00717AEA">
        <w:rPr>
          <w:rFonts w:cstheme="minorHAnsi"/>
          <w:color w:val="000090"/>
          <w:sz w:val="22"/>
          <w:szCs w:val="22"/>
        </w:rPr>
        <w:t>possible components to be replaced,</w:t>
      </w:r>
      <w:r w:rsidR="009E0270" w:rsidRPr="00717AEA">
        <w:rPr>
          <w:rFonts w:cstheme="minorHAnsi"/>
          <w:color w:val="000090"/>
          <w:sz w:val="22"/>
          <w:szCs w:val="22"/>
        </w:rPr>
        <w:t xml:space="preserve"> time,</w:t>
      </w:r>
      <w:r w:rsidR="0083396D" w:rsidRPr="00717AEA">
        <w:rPr>
          <w:rFonts w:cstheme="minorHAnsi"/>
          <w:color w:val="000090"/>
          <w:sz w:val="22"/>
          <w:szCs w:val="22"/>
        </w:rPr>
        <w:t xml:space="preserve"> and likely personnel and equipment cost.</w:t>
      </w:r>
      <w:r w:rsidR="00605CEF" w:rsidRPr="00717AEA">
        <w:rPr>
          <w:rFonts w:cstheme="minorHAnsi"/>
          <w:color w:val="000090"/>
          <w:sz w:val="22"/>
          <w:szCs w:val="22"/>
        </w:rPr>
        <w:t xml:space="preserve"> </w:t>
      </w:r>
      <w:r w:rsidR="006C1E80" w:rsidRPr="00717AEA">
        <w:rPr>
          <w:rFonts w:cstheme="minorHAnsi"/>
          <w:color w:val="000090"/>
          <w:sz w:val="22"/>
          <w:szCs w:val="22"/>
        </w:rPr>
        <w:t>Does this refer to mitigation of the anomalous, large hadron-induced signals, or to loss of crystal transparency other effect(s) - to be specified.</w:t>
      </w:r>
    </w:p>
    <w:p w14:paraId="26FB57FE" w14:textId="77777777" w:rsidR="004A4CE1" w:rsidRDefault="004A4CE1" w:rsidP="004A4CE1">
      <w:pPr>
        <w:pStyle w:val="ListParagraph"/>
        <w:rPr>
          <w:rFonts w:cstheme="minorHAnsi"/>
          <w:sz w:val="22"/>
          <w:szCs w:val="22"/>
        </w:rPr>
      </w:pPr>
    </w:p>
    <w:p w14:paraId="7EDB86AB" w14:textId="7964B186" w:rsidR="004A4CE1" w:rsidRPr="00760379" w:rsidRDefault="004A4CE1" w:rsidP="004A4CE1">
      <w:pPr>
        <w:pStyle w:val="ListParagraph"/>
        <w:rPr>
          <w:rFonts w:cstheme="minorHAnsi"/>
          <w:sz w:val="22"/>
          <w:szCs w:val="22"/>
        </w:rPr>
      </w:pPr>
      <w:r>
        <w:rPr>
          <w:rFonts w:cstheme="minorHAnsi"/>
          <w:sz w:val="22"/>
          <w:szCs w:val="22"/>
        </w:rPr>
        <w:t xml:space="preserve">A: “Dismounting” refers to any possible future “catastrophic” incident to EE, </w:t>
      </w:r>
      <w:proofErr w:type="spellStart"/>
      <w:r>
        <w:rPr>
          <w:rFonts w:cstheme="minorHAnsi"/>
          <w:sz w:val="22"/>
          <w:szCs w:val="22"/>
        </w:rPr>
        <w:t>eg</w:t>
      </w:r>
      <w:proofErr w:type="spellEnd"/>
      <w:r>
        <w:rPr>
          <w:rFonts w:cstheme="minorHAnsi"/>
          <w:sz w:val="22"/>
          <w:szCs w:val="22"/>
        </w:rPr>
        <w:t xml:space="preserve"> wiping out a significant percentage of one of the 4 </w:t>
      </w:r>
      <w:proofErr w:type="spellStart"/>
      <w:r>
        <w:rPr>
          <w:rFonts w:cstheme="minorHAnsi"/>
          <w:sz w:val="22"/>
          <w:szCs w:val="22"/>
        </w:rPr>
        <w:t>endcap</w:t>
      </w:r>
      <w:proofErr w:type="spellEnd"/>
      <w:r>
        <w:rPr>
          <w:rFonts w:cstheme="minorHAnsi"/>
          <w:sz w:val="22"/>
          <w:szCs w:val="22"/>
        </w:rPr>
        <w:t xml:space="preserve"> Dees.  Prior Risk Analysis would have to satisfy both ECAL and CMS management.  Would primarily involve Bell/</w:t>
      </w:r>
      <w:proofErr w:type="spellStart"/>
      <w:r>
        <w:rPr>
          <w:rFonts w:cstheme="minorHAnsi"/>
          <w:sz w:val="22"/>
          <w:szCs w:val="22"/>
        </w:rPr>
        <w:t>Cockerill</w:t>
      </w:r>
      <w:proofErr w:type="spellEnd"/>
      <w:r>
        <w:rPr>
          <w:rFonts w:cstheme="minorHAnsi"/>
          <w:sz w:val="22"/>
          <w:szCs w:val="22"/>
        </w:rPr>
        <w:t>/Hill/</w:t>
      </w:r>
      <w:proofErr w:type="spellStart"/>
      <w:r>
        <w:rPr>
          <w:rFonts w:cstheme="minorHAnsi"/>
          <w:sz w:val="22"/>
          <w:szCs w:val="22"/>
        </w:rPr>
        <w:t>Petyt</w:t>
      </w:r>
      <w:proofErr w:type="spellEnd"/>
      <w:r>
        <w:rPr>
          <w:rFonts w:cstheme="minorHAnsi"/>
          <w:sz w:val="22"/>
          <w:szCs w:val="22"/>
        </w:rPr>
        <w:t xml:space="preserve"> from the UK and take O(1) SY of UK effort in planning, execution and </w:t>
      </w:r>
      <w:proofErr w:type="spellStart"/>
      <w:r>
        <w:rPr>
          <w:rFonts w:cstheme="minorHAnsi"/>
          <w:sz w:val="22"/>
          <w:szCs w:val="22"/>
        </w:rPr>
        <w:t>recommissioning</w:t>
      </w:r>
      <w:proofErr w:type="spellEnd"/>
      <w:r>
        <w:rPr>
          <w:rFonts w:cstheme="minorHAnsi"/>
          <w:sz w:val="22"/>
          <w:szCs w:val="22"/>
        </w:rPr>
        <w:t>.  Not in any way related to anomalous signals or loss of crystal transparency.</w:t>
      </w:r>
    </w:p>
    <w:p w14:paraId="4D458027" w14:textId="3703C594" w:rsidR="0083396D" w:rsidRPr="00C370F1" w:rsidRDefault="0083396D" w:rsidP="00C370F1">
      <w:pPr>
        <w:pStyle w:val="ListParagraph"/>
        <w:rPr>
          <w:rFonts w:cstheme="minorHAnsi"/>
          <w:sz w:val="22"/>
          <w:szCs w:val="22"/>
        </w:rPr>
      </w:pPr>
    </w:p>
    <w:p w14:paraId="7E522F4E" w14:textId="77777777" w:rsidR="0083396D" w:rsidRPr="00717AEA" w:rsidRDefault="004D10CE" w:rsidP="009E0270">
      <w:pPr>
        <w:pStyle w:val="ListParagraph"/>
        <w:numPr>
          <w:ilvl w:val="0"/>
          <w:numId w:val="2"/>
        </w:numPr>
        <w:rPr>
          <w:rFonts w:cstheme="minorHAnsi"/>
          <w:color w:val="000090"/>
          <w:sz w:val="22"/>
          <w:szCs w:val="22"/>
        </w:rPr>
      </w:pPr>
      <w:r w:rsidRPr="00717AEA">
        <w:rPr>
          <w:rFonts w:cstheme="minorHAnsi"/>
          <w:color w:val="000090"/>
          <w:sz w:val="22"/>
          <w:szCs w:val="22"/>
        </w:rPr>
        <w:t xml:space="preserve">ECAL: </w:t>
      </w:r>
      <w:r w:rsidR="009E0270" w:rsidRPr="00717AEA">
        <w:rPr>
          <w:rFonts w:cstheme="minorHAnsi"/>
          <w:color w:val="000090"/>
          <w:sz w:val="22"/>
          <w:szCs w:val="22"/>
        </w:rPr>
        <w:t>How do the</w:t>
      </w:r>
      <w:r w:rsidR="0083396D" w:rsidRPr="00717AEA">
        <w:rPr>
          <w:rFonts w:cstheme="minorHAnsi"/>
          <w:color w:val="000090"/>
          <w:sz w:val="22"/>
          <w:szCs w:val="22"/>
        </w:rPr>
        <w:t xml:space="preserve"> anomalous signals in the ECAL barrel </w:t>
      </w:r>
      <w:r w:rsidRPr="00717AEA">
        <w:rPr>
          <w:rFonts w:cstheme="minorHAnsi"/>
          <w:color w:val="000090"/>
          <w:sz w:val="22"/>
          <w:szCs w:val="22"/>
        </w:rPr>
        <w:t xml:space="preserve">scale in 2009-2010 scale </w:t>
      </w:r>
      <w:r w:rsidR="009E0270" w:rsidRPr="00717AEA">
        <w:rPr>
          <w:rFonts w:cstheme="minorHAnsi"/>
          <w:color w:val="000090"/>
          <w:sz w:val="22"/>
          <w:szCs w:val="22"/>
        </w:rPr>
        <w:t xml:space="preserve">with luminosity and time? Might they </w:t>
      </w:r>
      <w:r w:rsidR="0083396D" w:rsidRPr="00717AEA">
        <w:rPr>
          <w:rFonts w:cstheme="minorHAnsi"/>
          <w:color w:val="000090"/>
          <w:sz w:val="22"/>
          <w:szCs w:val="22"/>
        </w:rPr>
        <w:t>require additional work and/or hardware intervention? If so, at what time and on what scale? Might further UK effort/equipment cost be required?</w:t>
      </w:r>
    </w:p>
    <w:p w14:paraId="3F4826ED" w14:textId="77777777" w:rsidR="004A4CE1" w:rsidRDefault="004A4CE1" w:rsidP="004A4CE1">
      <w:pPr>
        <w:pStyle w:val="ListParagraph"/>
        <w:rPr>
          <w:rFonts w:cstheme="minorHAnsi"/>
          <w:sz w:val="22"/>
          <w:szCs w:val="22"/>
        </w:rPr>
      </w:pPr>
    </w:p>
    <w:p w14:paraId="57FB93D9" w14:textId="15E18264" w:rsidR="004A4CE1" w:rsidRDefault="004A4CE1" w:rsidP="004A4CE1">
      <w:pPr>
        <w:pStyle w:val="ListParagraph"/>
        <w:rPr>
          <w:rFonts w:cstheme="minorHAnsi"/>
          <w:sz w:val="22"/>
          <w:szCs w:val="22"/>
        </w:rPr>
      </w:pPr>
      <w:r>
        <w:rPr>
          <w:rFonts w:cstheme="minorHAnsi"/>
          <w:sz w:val="22"/>
          <w:szCs w:val="22"/>
        </w:rPr>
        <w:t xml:space="preserve">A: </w:t>
      </w:r>
      <w:r w:rsidRPr="004A4CE1">
        <w:rPr>
          <w:rFonts w:cstheme="minorHAnsi"/>
          <w:sz w:val="22"/>
          <w:szCs w:val="22"/>
        </w:rPr>
        <w:t>The rate of anomalous signals in the ECAL barrel i</w:t>
      </w:r>
      <w:r w:rsidR="008D6BC7">
        <w:rPr>
          <w:rFonts w:cstheme="minorHAnsi"/>
          <w:sz w:val="22"/>
          <w:szCs w:val="22"/>
        </w:rPr>
        <w:t>s proportional to the collision</w:t>
      </w:r>
      <w:r w:rsidRPr="004A4CE1">
        <w:rPr>
          <w:rFonts w:cstheme="minorHAnsi"/>
          <w:sz w:val="22"/>
          <w:szCs w:val="22"/>
        </w:rPr>
        <w:t xml:space="preserve"> rate of the proton beams.  It corresponds to one anomalous signal per 370 minimum bias collision events at a centre of mass energy of 7 </w:t>
      </w:r>
      <w:proofErr w:type="spellStart"/>
      <w:r w:rsidRPr="004A4CE1">
        <w:rPr>
          <w:rFonts w:cstheme="minorHAnsi"/>
          <w:sz w:val="22"/>
          <w:szCs w:val="22"/>
        </w:rPr>
        <w:t>TeV</w:t>
      </w:r>
      <w:proofErr w:type="spellEnd"/>
      <w:r w:rsidRPr="004A4CE1">
        <w:rPr>
          <w:rFonts w:cstheme="minorHAnsi"/>
          <w:sz w:val="22"/>
          <w:szCs w:val="22"/>
        </w:rPr>
        <w:t>. The scaling of the rate with centre of mass energy is directly proportional to the number of charged tracks (</w:t>
      </w:r>
      <w:proofErr w:type="spellStart"/>
      <w:r w:rsidRPr="004A4CE1">
        <w:rPr>
          <w:rFonts w:cstheme="minorHAnsi"/>
          <w:sz w:val="22"/>
          <w:szCs w:val="22"/>
        </w:rPr>
        <w:t>dN</w:t>
      </w:r>
      <w:proofErr w:type="spellEnd"/>
      <w:r w:rsidRPr="004A4CE1">
        <w:rPr>
          <w:rFonts w:cstheme="minorHAnsi"/>
          <w:sz w:val="22"/>
          <w:szCs w:val="22"/>
        </w:rPr>
        <w:t>/</w:t>
      </w:r>
      <w:proofErr w:type="spellStart"/>
      <w:r w:rsidRPr="004A4CE1">
        <w:rPr>
          <w:rFonts w:cstheme="minorHAnsi"/>
          <w:sz w:val="22"/>
          <w:szCs w:val="22"/>
        </w:rPr>
        <w:t>deta</w:t>
      </w:r>
      <w:proofErr w:type="spellEnd"/>
      <w:r w:rsidRPr="004A4CE1">
        <w:rPr>
          <w:rFonts w:cstheme="minorHAnsi"/>
          <w:sz w:val="22"/>
          <w:szCs w:val="22"/>
        </w:rPr>
        <w:t>) per event. These signals are efficiently rejected (&gt;99% efficiency) by cuts applied both in the online trigger and offline event reconstruction. These cuts are expected to be efficient up to L=10</w:t>
      </w:r>
      <w:r w:rsidRPr="004A4CE1">
        <w:rPr>
          <w:rFonts w:cstheme="minorHAnsi"/>
          <w:sz w:val="22"/>
          <w:szCs w:val="22"/>
          <w:vertAlign w:val="superscript"/>
        </w:rPr>
        <w:t>34</w:t>
      </w:r>
      <w:r w:rsidRPr="004A4CE1">
        <w:rPr>
          <w:rFonts w:cstheme="minorHAnsi"/>
          <w:sz w:val="22"/>
          <w:szCs w:val="22"/>
        </w:rPr>
        <w:t xml:space="preserve"> cm</w:t>
      </w:r>
      <w:r w:rsidRPr="004A4CE1">
        <w:rPr>
          <w:rFonts w:cstheme="minorHAnsi"/>
          <w:sz w:val="22"/>
          <w:szCs w:val="22"/>
          <w:vertAlign w:val="superscript"/>
        </w:rPr>
        <w:t>-2</w:t>
      </w:r>
      <w:r w:rsidRPr="004A4CE1">
        <w:rPr>
          <w:rFonts w:cstheme="minorHAnsi"/>
          <w:sz w:val="22"/>
          <w:szCs w:val="22"/>
        </w:rPr>
        <w:t>s-1 and beyond, with a minimal effect on triggering performance and offline e</w:t>
      </w:r>
      <w:r w:rsidR="00A13EE1">
        <w:rPr>
          <w:rFonts w:cstheme="minorHAnsi"/>
          <w:sz w:val="22"/>
          <w:szCs w:val="22"/>
        </w:rPr>
        <w:t>lectron/photon reconstruction.</w:t>
      </w:r>
    </w:p>
    <w:p w14:paraId="0753EE87" w14:textId="77777777" w:rsidR="00A13EE1" w:rsidRDefault="00A13EE1" w:rsidP="004A4CE1">
      <w:pPr>
        <w:pStyle w:val="ListParagraph"/>
        <w:rPr>
          <w:rFonts w:cstheme="minorHAnsi"/>
          <w:sz w:val="22"/>
          <w:szCs w:val="22"/>
        </w:rPr>
      </w:pPr>
    </w:p>
    <w:p w14:paraId="31EDCD0E" w14:textId="6963BF60" w:rsidR="009E0270" w:rsidRDefault="004A4CE1" w:rsidP="004A4CE1">
      <w:pPr>
        <w:pStyle w:val="ListParagraph"/>
        <w:rPr>
          <w:rFonts w:cstheme="minorHAnsi"/>
          <w:sz w:val="22"/>
          <w:szCs w:val="22"/>
        </w:rPr>
      </w:pPr>
      <w:r w:rsidRPr="004A4CE1">
        <w:rPr>
          <w:rFonts w:cstheme="minorHAnsi"/>
          <w:sz w:val="22"/>
          <w:szCs w:val="22"/>
        </w:rPr>
        <w:t>The software used to ameliorate this effect will require development and effort from current UK personnel.  Hardware interventions to solve this problem are extremely unlikely at the level of the ECAL detector. These signals are only an issue in the barrel detector and therefore any hardware intervention would not be a UK responsibility. Possible intervention in trigger electronics is a possibility, but once more not a UK responsibility.</w:t>
      </w:r>
    </w:p>
    <w:p w14:paraId="4E0A3920" w14:textId="77777777" w:rsidR="004A4CE1" w:rsidRPr="004A4CE1" w:rsidRDefault="004A4CE1" w:rsidP="004A4CE1">
      <w:pPr>
        <w:pStyle w:val="ListParagraph"/>
        <w:rPr>
          <w:rFonts w:cstheme="minorHAnsi"/>
          <w:sz w:val="22"/>
          <w:szCs w:val="22"/>
        </w:rPr>
      </w:pPr>
    </w:p>
    <w:p w14:paraId="0AE06689" w14:textId="77777777" w:rsidR="00605CEF" w:rsidRDefault="004D10CE" w:rsidP="00605CEF">
      <w:pPr>
        <w:pStyle w:val="ListParagraph"/>
        <w:numPr>
          <w:ilvl w:val="0"/>
          <w:numId w:val="2"/>
        </w:numPr>
        <w:rPr>
          <w:rFonts w:cstheme="minorHAnsi"/>
          <w:color w:val="000090"/>
          <w:sz w:val="22"/>
          <w:szCs w:val="22"/>
        </w:rPr>
      </w:pPr>
      <w:r w:rsidRPr="00717AEA">
        <w:rPr>
          <w:rFonts w:cstheme="minorHAnsi"/>
          <w:color w:val="000090"/>
          <w:sz w:val="22"/>
          <w:szCs w:val="22"/>
        </w:rPr>
        <w:t xml:space="preserve">ECAL: </w:t>
      </w:r>
      <w:r w:rsidR="009E0270" w:rsidRPr="00717AEA">
        <w:rPr>
          <w:rFonts w:cstheme="minorHAnsi"/>
          <w:color w:val="000090"/>
          <w:sz w:val="22"/>
          <w:szCs w:val="22"/>
        </w:rPr>
        <w:t xml:space="preserve">What fraction of the ECAL channels </w:t>
      </w:r>
      <w:r w:rsidR="00825A31" w:rsidRPr="00717AEA">
        <w:rPr>
          <w:rFonts w:cstheme="minorHAnsi"/>
          <w:color w:val="000090"/>
          <w:sz w:val="22"/>
          <w:szCs w:val="22"/>
        </w:rPr>
        <w:t>are</w:t>
      </w:r>
      <w:r w:rsidR="009E0270" w:rsidRPr="00717AEA">
        <w:rPr>
          <w:rFonts w:cstheme="minorHAnsi"/>
          <w:color w:val="000090"/>
          <w:sz w:val="22"/>
          <w:szCs w:val="22"/>
        </w:rPr>
        <w:t xml:space="preserve"> masked and/or show anomalous activity?</w:t>
      </w:r>
      <w:r w:rsidRPr="00717AEA">
        <w:rPr>
          <w:rFonts w:cstheme="minorHAnsi"/>
          <w:color w:val="000090"/>
          <w:sz w:val="22"/>
          <w:szCs w:val="22"/>
        </w:rPr>
        <w:t xml:space="preserve"> </w:t>
      </w:r>
      <w:r w:rsidR="00825A31" w:rsidRPr="00717AEA">
        <w:rPr>
          <w:rFonts w:cstheme="minorHAnsi"/>
          <w:color w:val="000090"/>
          <w:sz w:val="22"/>
          <w:szCs w:val="22"/>
        </w:rPr>
        <w:t>Are</w:t>
      </w:r>
      <w:r w:rsidRPr="00717AEA">
        <w:rPr>
          <w:rFonts w:cstheme="minorHAnsi"/>
          <w:color w:val="000090"/>
          <w:sz w:val="22"/>
          <w:szCs w:val="22"/>
        </w:rPr>
        <w:t xml:space="preserve"> th</w:t>
      </w:r>
      <w:r w:rsidR="00825A31" w:rsidRPr="00717AEA">
        <w:rPr>
          <w:rFonts w:cstheme="minorHAnsi"/>
          <w:color w:val="000090"/>
          <w:sz w:val="22"/>
          <w:szCs w:val="22"/>
        </w:rPr>
        <w:t>ese</w:t>
      </w:r>
      <w:r w:rsidRPr="00717AEA">
        <w:rPr>
          <w:rFonts w:cstheme="minorHAnsi"/>
          <w:color w:val="000090"/>
          <w:sz w:val="22"/>
          <w:szCs w:val="22"/>
        </w:rPr>
        <w:t xml:space="preserve"> number</w:t>
      </w:r>
      <w:r w:rsidR="00825A31" w:rsidRPr="00717AEA">
        <w:rPr>
          <w:rFonts w:cstheme="minorHAnsi"/>
          <w:color w:val="000090"/>
          <w:sz w:val="22"/>
          <w:szCs w:val="22"/>
        </w:rPr>
        <w:t>s</w:t>
      </w:r>
      <w:r w:rsidRPr="00717AEA">
        <w:rPr>
          <w:rFonts w:cstheme="minorHAnsi"/>
          <w:color w:val="000090"/>
          <w:sz w:val="22"/>
          <w:szCs w:val="22"/>
        </w:rPr>
        <w:t xml:space="preserve"> stable?</w:t>
      </w:r>
    </w:p>
    <w:p w14:paraId="6DBF71CC" w14:textId="77777777" w:rsidR="00FA72E5" w:rsidRDefault="00FA72E5" w:rsidP="00FA72E5">
      <w:pPr>
        <w:pStyle w:val="ListParagraph"/>
        <w:rPr>
          <w:rFonts w:cstheme="minorHAnsi"/>
          <w:color w:val="000090"/>
          <w:sz w:val="22"/>
          <w:szCs w:val="22"/>
        </w:rPr>
      </w:pPr>
    </w:p>
    <w:p w14:paraId="61C806F4" w14:textId="360B7966" w:rsidR="000339B4" w:rsidRDefault="00FA72E5" w:rsidP="000339B4">
      <w:pPr>
        <w:pStyle w:val="ListParagraph"/>
        <w:rPr>
          <w:rFonts w:cstheme="minorHAnsi"/>
          <w:sz w:val="22"/>
          <w:szCs w:val="22"/>
        </w:rPr>
      </w:pPr>
      <w:r w:rsidRPr="000339B4">
        <w:rPr>
          <w:rFonts w:cstheme="minorHAnsi"/>
          <w:sz w:val="22"/>
          <w:szCs w:val="22"/>
        </w:rPr>
        <w:t>A</w:t>
      </w:r>
      <w:r w:rsidR="000339B4" w:rsidRPr="000339B4">
        <w:rPr>
          <w:rFonts w:cstheme="minorHAnsi"/>
          <w:sz w:val="22"/>
          <w:szCs w:val="22"/>
        </w:rPr>
        <w:t>:</w:t>
      </w:r>
      <w:r w:rsidR="000339B4">
        <w:rPr>
          <w:rFonts w:cstheme="minorHAnsi"/>
          <w:color w:val="000090"/>
          <w:sz w:val="22"/>
          <w:szCs w:val="22"/>
        </w:rPr>
        <w:t xml:space="preserve"> </w:t>
      </w:r>
      <w:r w:rsidR="008D6BC7">
        <w:rPr>
          <w:rFonts w:cstheme="minorHAnsi"/>
          <w:color w:val="000090"/>
          <w:sz w:val="22"/>
          <w:szCs w:val="22"/>
        </w:rPr>
        <w:t xml:space="preserve"> </w:t>
      </w:r>
      <w:r w:rsidR="000339B4">
        <w:rPr>
          <w:rFonts w:cstheme="minorHAnsi"/>
          <w:sz w:val="22"/>
          <w:szCs w:val="22"/>
        </w:rPr>
        <w:t xml:space="preserve">At the end of 2011 data-taking, 0.8% of barrel channels and 1.3% of </w:t>
      </w:r>
      <w:proofErr w:type="spellStart"/>
      <w:r w:rsidR="000339B4">
        <w:rPr>
          <w:rFonts w:cstheme="minorHAnsi"/>
          <w:sz w:val="22"/>
          <w:szCs w:val="22"/>
        </w:rPr>
        <w:t>endcap</w:t>
      </w:r>
      <w:proofErr w:type="spellEnd"/>
      <w:r w:rsidR="000339B4">
        <w:rPr>
          <w:rFonts w:cstheme="minorHAnsi"/>
          <w:sz w:val="22"/>
          <w:szCs w:val="22"/>
        </w:rPr>
        <w:t xml:space="preserve"> channels were inoperable. In addition 0.16% of barrel and 0.38% of </w:t>
      </w:r>
      <w:proofErr w:type="spellStart"/>
      <w:r w:rsidR="000339B4">
        <w:rPr>
          <w:rFonts w:cstheme="minorHAnsi"/>
          <w:sz w:val="22"/>
          <w:szCs w:val="22"/>
        </w:rPr>
        <w:t>endcap</w:t>
      </w:r>
      <w:proofErr w:type="spellEnd"/>
      <w:r w:rsidR="000339B4">
        <w:rPr>
          <w:rFonts w:cstheme="minorHAnsi"/>
          <w:sz w:val="22"/>
          <w:szCs w:val="22"/>
        </w:rPr>
        <w:t xml:space="preserve"> channels were classed as problematic (generally higher values of electronic noise) but were operable. Considering the inoperable ch</w:t>
      </w:r>
      <w:r w:rsidR="00A13EE1">
        <w:rPr>
          <w:rFonts w:cstheme="minorHAnsi"/>
          <w:sz w:val="22"/>
          <w:szCs w:val="22"/>
        </w:rPr>
        <w:t>annels, the energy of collision</w:t>
      </w:r>
      <w:r w:rsidR="000339B4">
        <w:rPr>
          <w:rFonts w:cstheme="minorHAnsi"/>
          <w:sz w:val="22"/>
          <w:szCs w:val="22"/>
        </w:rPr>
        <w:t xml:space="preserve"> products can be reconstructed from trigger information in 70% of the cases in the barrel and in 13% of the cases in the </w:t>
      </w:r>
      <w:proofErr w:type="spellStart"/>
      <w:r w:rsidR="000339B4">
        <w:rPr>
          <w:rFonts w:cstheme="minorHAnsi"/>
          <w:sz w:val="22"/>
          <w:szCs w:val="22"/>
        </w:rPr>
        <w:t>endcaps</w:t>
      </w:r>
      <w:proofErr w:type="spellEnd"/>
      <w:r w:rsidR="000339B4">
        <w:rPr>
          <w:rFonts w:cstheme="minorHAnsi"/>
          <w:sz w:val="22"/>
          <w:szCs w:val="22"/>
        </w:rPr>
        <w:t>. These numbers were stable throughout the 2011 data-taking period</w:t>
      </w:r>
      <w:r w:rsidR="00A13EE1">
        <w:rPr>
          <w:rFonts w:cstheme="minorHAnsi"/>
          <w:sz w:val="22"/>
          <w:szCs w:val="22"/>
        </w:rPr>
        <w:t>.</w:t>
      </w:r>
    </w:p>
    <w:p w14:paraId="5DCA3E14" w14:textId="77777777" w:rsidR="00605CEF" w:rsidRPr="00717AEA" w:rsidRDefault="00605CEF" w:rsidP="00605CEF">
      <w:pPr>
        <w:pStyle w:val="ListParagraph"/>
        <w:rPr>
          <w:rFonts w:cstheme="minorHAnsi"/>
          <w:color w:val="000090"/>
          <w:sz w:val="22"/>
          <w:szCs w:val="22"/>
        </w:rPr>
      </w:pPr>
    </w:p>
    <w:p w14:paraId="32BC7AD4" w14:textId="77777777" w:rsidR="00605CEF" w:rsidRPr="00717AEA" w:rsidRDefault="00605CEF" w:rsidP="00605CEF">
      <w:pPr>
        <w:pStyle w:val="ListParagraph"/>
        <w:numPr>
          <w:ilvl w:val="0"/>
          <w:numId w:val="2"/>
        </w:numPr>
        <w:rPr>
          <w:rFonts w:cstheme="minorHAnsi"/>
          <w:color w:val="000090"/>
          <w:sz w:val="22"/>
          <w:szCs w:val="22"/>
        </w:rPr>
      </w:pPr>
      <w:r w:rsidRPr="00717AEA">
        <w:rPr>
          <w:rFonts w:cstheme="minorHAnsi"/>
          <w:color w:val="000090"/>
          <w:sz w:val="22"/>
          <w:szCs w:val="22"/>
        </w:rPr>
        <w:lastRenderedPageBreak/>
        <w:t>ECAL future (3.2.2): Please report on any current loss of capability caused by reduced crystal transparency and provide a forward projection of the scope of future effects. Indicate the potential timescale, and scope in terms of personnel and costs, of any EE interventions that might be required. Would additional UK personnel be required at CERN?</w:t>
      </w:r>
    </w:p>
    <w:p w14:paraId="03C0F0A2" w14:textId="77777777" w:rsidR="00605CEF" w:rsidRDefault="00605CEF" w:rsidP="00605CEF">
      <w:pPr>
        <w:pStyle w:val="ListParagraph"/>
        <w:rPr>
          <w:rFonts w:cstheme="minorHAnsi"/>
          <w:color w:val="000090"/>
          <w:sz w:val="22"/>
          <w:szCs w:val="22"/>
        </w:rPr>
      </w:pPr>
    </w:p>
    <w:p w14:paraId="60FBD966" w14:textId="27F3B02B" w:rsidR="00C370F1" w:rsidRPr="00C370F1" w:rsidRDefault="00C370F1" w:rsidP="00C370F1">
      <w:pPr>
        <w:pStyle w:val="ListParagraph"/>
        <w:rPr>
          <w:rFonts w:cstheme="minorHAnsi"/>
          <w:sz w:val="22"/>
          <w:szCs w:val="22"/>
        </w:rPr>
      </w:pPr>
      <w:r>
        <w:rPr>
          <w:rFonts w:cstheme="minorHAnsi"/>
          <w:sz w:val="22"/>
          <w:szCs w:val="22"/>
        </w:rPr>
        <w:t xml:space="preserve">A: </w:t>
      </w:r>
      <w:r w:rsidRPr="00C370F1">
        <w:rPr>
          <w:rFonts w:cstheme="minorHAnsi"/>
          <w:sz w:val="22"/>
          <w:szCs w:val="22"/>
        </w:rPr>
        <w:t>There is no evidence of performance degradation in either</w:t>
      </w:r>
      <w:r>
        <w:rPr>
          <w:rFonts w:cstheme="minorHAnsi"/>
          <w:sz w:val="22"/>
          <w:szCs w:val="22"/>
        </w:rPr>
        <w:t xml:space="preserve"> the barrel or </w:t>
      </w:r>
      <w:proofErr w:type="spellStart"/>
      <w:r>
        <w:rPr>
          <w:rFonts w:cstheme="minorHAnsi"/>
          <w:sz w:val="22"/>
          <w:szCs w:val="22"/>
        </w:rPr>
        <w:t>endcaps</w:t>
      </w:r>
      <w:proofErr w:type="spellEnd"/>
      <w:r>
        <w:rPr>
          <w:rFonts w:cstheme="minorHAnsi"/>
          <w:sz w:val="22"/>
          <w:szCs w:val="22"/>
        </w:rPr>
        <w:t xml:space="preserve"> from the </w:t>
      </w:r>
      <w:r w:rsidRPr="00C370F1">
        <w:rPr>
          <w:rFonts w:cstheme="minorHAnsi"/>
          <w:sz w:val="22"/>
          <w:szCs w:val="22"/>
        </w:rPr>
        <w:t xml:space="preserve">2011 LHC data. Crystal transparency losses of up to 20-30% due to radiation-induced electromagnetic damage in the inner region of the </w:t>
      </w:r>
      <w:proofErr w:type="spellStart"/>
      <w:r w:rsidRPr="00C370F1">
        <w:rPr>
          <w:rFonts w:cstheme="minorHAnsi"/>
          <w:sz w:val="22"/>
          <w:szCs w:val="22"/>
        </w:rPr>
        <w:t>endcaps</w:t>
      </w:r>
      <w:proofErr w:type="spellEnd"/>
      <w:r w:rsidRPr="00C370F1">
        <w:rPr>
          <w:rFonts w:cstheme="minorHAnsi"/>
          <w:sz w:val="22"/>
          <w:szCs w:val="22"/>
        </w:rPr>
        <w:t xml:space="preserve"> are corrected using the light monitoring system with no measurable degradation in the resolution performance of the detector.</w:t>
      </w:r>
    </w:p>
    <w:p w14:paraId="5287CDC2" w14:textId="77777777" w:rsidR="00A13EE1" w:rsidRDefault="00A13EE1" w:rsidP="00C370F1">
      <w:pPr>
        <w:pStyle w:val="ListParagraph"/>
        <w:rPr>
          <w:rFonts w:cstheme="minorHAnsi"/>
          <w:sz w:val="22"/>
          <w:szCs w:val="22"/>
        </w:rPr>
      </w:pPr>
    </w:p>
    <w:p w14:paraId="38D00289" w14:textId="77777777" w:rsidR="00C370F1" w:rsidRDefault="00C370F1" w:rsidP="00C370F1">
      <w:pPr>
        <w:pStyle w:val="ListParagraph"/>
        <w:rPr>
          <w:rFonts w:cstheme="minorHAnsi"/>
          <w:sz w:val="22"/>
          <w:szCs w:val="22"/>
        </w:rPr>
      </w:pPr>
      <w:r>
        <w:rPr>
          <w:rFonts w:cstheme="minorHAnsi"/>
          <w:sz w:val="22"/>
          <w:szCs w:val="22"/>
        </w:rPr>
        <w:t xml:space="preserve">Permanent light loss due to crystal colour centres induced by hadron damage is not expected to be significant in 2012. Simulations studies and laboratory measurements predict that it will become an important contribution in the </w:t>
      </w:r>
      <w:proofErr w:type="spellStart"/>
      <w:r>
        <w:rPr>
          <w:rFonts w:cstheme="minorHAnsi"/>
          <w:sz w:val="22"/>
          <w:szCs w:val="22"/>
        </w:rPr>
        <w:t>endcaps</w:t>
      </w:r>
      <w:proofErr w:type="spellEnd"/>
      <w:r>
        <w:rPr>
          <w:rFonts w:cstheme="minorHAnsi"/>
          <w:sz w:val="22"/>
          <w:szCs w:val="22"/>
        </w:rPr>
        <w:t xml:space="preserve"> (for |eta|&gt;2) for integrated luminosities of 100-500 fb</w:t>
      </w:r>
      <w:r w:rsidRPr="00706903">
        <w:rPr>
          <w:rFonts w:cstheme="minorHAnsi"/>
          <w:sz w:val="22"/>
          <w:szCs w:val="22"/>
          <w:vertAlign w:val="superscript"/>
        </w:rPr>
        <w:t>-1</w:t>
      </w:r>
      <w:r>
        <w:rPr>
          <w:rFonts w:cstheme="minorHAnsi"/>
          <w:sz w:val="22"/>
          <w:szCs w:val="22"/>
          <w:vertAlign w:val="superscript"/>
        </w:rPr>
        <w:t xml:space="preserve"> </w:t>
      </w:r>
      <w:r>
        <w:rPr>
          <w:rFonts w:cstheme="minorHAnsi"/>
          <w:sz w:val="22"/>
          <w:szCs w:val="22"/>
        </w:rPr>
        <w:t xml:space="preserve"> (towards the end of the LHC running period, ~2020) and the dominant contribution for luminosities of 3000 fb</w:t>
      </w:r>
      <w:r w:rsidRPr="0066316E">
        <w:rPr>
          <w:rFonts w:cstheme="minorHAnsi"/>
          <w:sz w:val="22"/>
          <w:szCs w:val="22"/>
          <w:vertAlign w:val="superscript"/>
        </w:rPr>
        <w:t>-1</w:t>
      </w:r>
      <w:r>
        <w:rPr>
          <w:rFonts w:cstheme="minorHAnsi"/>
          <w:sz w:val="22"/>
          <w:szCs w:val="22"/>
          <w:vertAlign w:val="superscript"/>
        </w:rPr>
        <w:t xml:space="preserve"> </w:t>
      </w:r>
      <w:r>
        <w:rPr>
          <w:rFonts w:cstheme="minorHAnsi"/>
          <w:sz w:val="22"/>
          <w:szCs w:val="22"/>
        </w:rPr>
        <w:t xml:space="preserve"> (</w:t>
      </w:r>
      <w:proofErr w:type="spellStart"/>
      <w:r>
        <w:rPr>
          <w:rFonts w:cstheme="minorHAnsi"/>
          <w:sz w:val="22"/>
          <w:szCs w:val="22"/>
        </w:rPr>
        <w:t>HiLHC</w:t>
      </w:r>
      <w:proofErr w:type="spellEnd"/>
      <w:r>
        <w:rPr>
          <w:rFonts w:cstheme="minorHAnsi"/>
          <w:sz w:val="22"/>
          <w:szCs w:val="22"/>
        </w:rPr>
        <w:t xml:space="preserve"> running period, beyond 2022). </w:t>
      </w:r>
    </w:p>
    <w:p w14:paraId="1EFE0B80" w14:textId="77777777" w:rsidR="00C370F1" w:rsidRDefault="00C370F1" w:rsidP="00C370F1">
      <w:pPr>
        <w:pStyle w:val="ListParagraph"/>
        <w:rPr>
          <w:rFonts w:cstheme="minorHAnsi"/>
          <w:sz w:val="22"/>
          <w:szCs w:val="22"/>
        </w:rPr>
      </w:pPr>
      <w:r>
        <w:rPr>
          <w:rFonts w:cstheme="minorHAnsi"/>
          <w:sz w:val="22"/>
          <w:szCs w:val="22"/>
        </w:rPr>
        <w:t>Performance estimates at this higher luminosity indicate that, even though the light yield at |eta|=2.2 will be reduced by a factor of 20, the constant term of the energy resolution may be as low as 2%. The overall resolution at 3000 fb</w:t>
      </w:r>
      <w:r w:rsidRPr="0066316E">
        <w:rPr>
          <w:rFonts w:cstheme="minorHAnsi"/>
          <w:sz w:val="22"/>
          <w:szCs w:val="22"/>
          <w:vertAlign w:val="superscript"/>
        </w:rPr>
        <w:t>-1</w:t>
      </w:r>
      <w:r>
        <w:rPr>
          <w:rFonts w:cstheme="minorHAnsi"/>
          <w:sz w:val="22"/>
          <w:szCs w:val="22"/>
          <w:vertAlign w:val="superscript"/>
        </w:rPr>
        <w:t xml:space="preserve"> </w:t>
      </w:r>
      <w:r>
        <w:rPr>
          <w:rFonts w:cstheme="minorHAnsi"/>
          <w:sz w:val="22"/>
          <w:szCs w:val="22"/>
        </w:rPr>
        <w:t xml:space="preserve"> will be then be dominated by the noise term, due to the light yield loss.</w:t>
      </w:r>
    </w:p>
    <w:p w14:paraId="4590793C" w14:textId="77777777" w:rsidR="00A13EE1" w:rsidRDefault="00A13EE1" w:rsidP="00C370F1">
      <w:pPr>
        <w:pStyle w:val="ListParagraph"/>
        <w:rPr>
          <w:rFonts w:cstheme="minorHAnsi"/>
          <w:sz w:val="22"/>
          <w:szCs w:val="22"/>
        </w:rPr>
      </w:pPr>
    </w:p>
    <w:p w14:paraId="36D75B55" w14:textId="77777777" w:rsidR="00A13EE1" w:rsidRDefault="00C370F1" w:rsidP="00C370F1">
      <w:pPr>
        <w:pStyle w:val="ListParagraph"/>
        <w:rPr>
          <w:rFonts w:cstheme="minorHAnsi"/>
          <w:sz w:val="22"/>
          <w:szCs w:val="22"/>
        </w:rPr>
      </w:pPr>
      <w:r>
        <w:rPr>
          <w:rFonts w:cstheme="minorHAnsi"/>
          <w:sz w:val="22"/>
          <w:szCs w:val="22"/>
        </w:rPr>
        <w:t>It is possible that a fraction of the hadron damage may be recoverable through thermal annealing and optical bleaching of the crystals, with the chance of improving the resolution per</w:t>
      </w:r>
      <w:r w:rsidR="00A13EE1">
        <w:rPr>
          <w:rFonts w:cstheme="minorHAnsi"/>
          <w:sz w:val="22"/>
          <w:szCs w:val="22"/>
        </w:rPr>
        <w:t xml:space="preserve">formance in the </w:t>
      </w:r>
      <w:proofErr w:type="spellStart"/>
      <w:r w:rsidR="00A13EE1">
        <w:rPr>
          <w:rFonts w:cstheme="minorHAnsi"/>
          <w:sz w:val="22"/>
          <w:szCs w:val="22"/>
        </w:rPr>
        <w:t>HiLHC</w:t>
      </w:r>
      <w:proofErr w:type="spellEnd"/>
      <w:r w:rsidR="00A13EE1">
        <w:rPr>
          <w:rFonts w:cstheme="minorHAnsi"/>
          <w:sz w:val="22"/>
          <w:szCs w:val="22"/>
        </w:rPr>
        <w:t xml:space="preserve"> period. </w:t>
      </w:r>
    </w:p>
    <w:p w14:paraId="2FA7706B" w14:textId="77777777" w:rsidR="00A13EE1" w:rsidRDefault="00A13EE1" w:rsidP="00C370F1">
      <w:pPr>
        <w:pStyle w:val="ListParagraph"/>
        <w:rPr>
          <w:rFonts w:cstheme="minorHAnsi"/>
          <w:sz w:val="22"/>
          <w:szCs w:val="22"/>
        </w:rPr>
      </w:pPr>
    </w:p>
    <w:p w14:paraId="130BFD27" w14:textId="7ED79621" w:rsidR="00C370F1" w:rsidRDefault="00C370F1" w:rsidP="00C370F1">
      <w:pPr>
        <w:pStyle w:val="ListParagraph"/>
        <w:rPr>
          <w:rFonts w:cstheme="minorHAnsi"/>
          <w:sz w:val="22"/>
          <w:szCs w:val="22"/>
        </w:rPr>
      </w:pPr>
      <w:r>
        <w:rPr>
          <w:rFonts w:cstheme="minorHAnsi"/>
          <w:sz w:val="22"/>
          <w:szCs w:val="22"/>
        </w:rPr>
        <w:t xml:space="preserve">Optical and thermal bleaching are presently studied, small-scale, in a test-beam.  Any on-detector intervention to implement these is unlikely to happen before LS2 (~2018).  Either would need extensive preparation.  For the UK contribution, this should largely be covered from the envisaged PPD staff, plus the requested 0.5FTE/year of RAL TD effort, plus the envisaged central ECAL and CMS M&amp;O B expenditure.  This is unlikely to increase the UK M&amp;O B contribution. </w:t>
      </w:r>
    </w:p>
    <w:p w14:paraId="1BDC339F" w14:textId="77777777" w:rsidR="00605CEF" w:rsidRDefault="00605CEF" w:rsidP="00605CEF">
      <w:pPr>
        <w:pStyle w:val="PlainText"/>
        <w:numPr>
          <w:ilvl w:val="0"/>
          <w:numId w:val="2"/>
        </w:numPr>
        <w:rPr>
          <w:color w:val="000090"/>
          <w:szCs w:val="22"/>
        </w:rPr>
      </w:pPr>
      <w:r w:rsidRPr="00717AEA">
        <w:rPr>
          <w:color w:val="000090"/>
          <w:szCs w:val="22"/>
        </w:rPr>
        <w:t>ECAL future (3.2.2) On page 21, would the 0.5 SY Engineering TD effort requested for the ECAL be part of the M&amp;O B reduction for VPT test systems at Brunel?   If not, could this be negotiated?  If so, would the M&amp;O B cost go up if the ECAL TD effort is not granted?</w:t>
      </w:r>
    </w:p>
    <w:p w14:paraId="1328221E" w14:textId="77777777" w:rsidR="005E50D0" w:rsidRDefault="005E50D0" w:rsidP="005E50D0">
      <w:pPr>
        <w:pStyle w:val="PlainText"/>
        <w:rPr>
          <w:color w:val="000090"/>
          <w:szCs w:val="22"/>
        </w:rPr>
      </w:pPr>
    </w:p>
    <w:p w14:paraId="62528794" w14:textId="099C36F2" w:rsidR="005E50D0" w:rsidRPr="005E50D0" w:rsidRDefault="005E50D0" w:rsidP="005E50D0">
      <w:pPr>
        <w:pStyle w:val="PlainText"/>
        <w:ind w:left="720"/>
        <w:rPr>
          <w:szCs w:val="22"/>
        </w:rPr>
      </w:pPr>
      <w:r w:rsidRPr="005E50D0">
        <w:rPr>
          <w:szCs w:val="22"/>
        </w:rPr>
        <w:t>A:</w:t>
      </w:r>
      <w:r>
        <w:rPr>
          <w:szCs w:val="22"/>
        </w:rPr>
        <w:t xml:space="preserve"> We believe there is some misunderstanding here.</w:t>
      </w:r>
    </w:p>
    <w:p w14:paraId="69B51A26" w14:textId="77777777" w:rsidR="00605CEF" w:rsidRPr="00717AEA" w:rsidRDefault="00605CEF" w:rsidP="00605CEF">
      <w:pPr>
        <w:pStyle w:val="ListParagraph"/>
        <w:rPr>
          <w:rFonts w:cstheme="minorHAnsi"/>
          <w:color w:val="000090"/>
          <w:sz w:val="22"/>
          <w:szCs w:val="22"/>
        </w:rPr>
      </w:pPr>
    </w:p>
    <w:p w14:paraId="306D540C" w14:textId="2645F982" w:rsidR="007E4F9F" w:rsidRPr="007E4F9F" w:rsidRDefault="009E0270" w:rsidP="007E4F9F">
      <w:pPr>
        <w:pStyle w:val="ListParagraph"/>
        <w:numPr>
          <w:ilvl w:val="0"/>
          <w:numId w:val="2"/>
        </w:numPr>
        <w:rPr>
          <w:rFonts w:cstheme="minorHAnsi"/>
          <w:color w:val="000090"/>
          <w:sz w:val="22"/>
          <w:szCs w:val="22"/>
        </w:rPr>
      </w:pPr>
      <w:r w:rsidRPr="00717AEA">
        <w:rPr>
          <w:rFonts w:cstheme="minorHAnsi"/>
          <w:color w:val="000090"/>
          <w:sz w:val="22"/>
          <w:szCs w:val="22"/>
        </w:rPr>
        <w:t xml:space="preserve">GCT: please report on the status of the replaced optical links. </w:t>
      </w:r>
    </w:p>
    <w:p w14:paraId="756D6A75" w14:textId="77777777" w:rsidR="007E4F9F" w:rsidRDefault="007E4F9F" w:rsidP="007E4F9F">
      <w:pPr>
        <w:pStyle w:val="ListParagraph"/>
        <w:rPr>
          <w:rFonts w:cstheme="minorHAnsi"/>
          <w:sz w:val="22"/>
          <w:szCs w:val="22"/>
        </w:rPr>
      </w:pPr>
    </w:p>
    <w:p w14:paraId="42B4E2CB" w14:textId="2645F982" w:rsidR="007E4F9F" w:rsidRPr="007E4F9F" w:rsidRDefault="007E4F9F" w:rsidP="007E4F9F">
      <w:pPr>
        <w:pStyle w:val="ListParagraph"/>
        <w:rPr>
          <w:rFonts w:cstheme="minorHAnsi"/>
          <w:sz w:val="22"/>
          <w:szCs w:val="22"/>
        </w:rPr>
      </w:pPr>
      <w:r w:rsidRPr="007E4F9F">
        <w:rPr>
          <w:rFonts w:cstheme="minorHAnsi"/>
          <w:sz w:val="22"/>
          <w:szCs w:val="22"/>
        </w:rPr>
        <w:t>A:</w:t>
      </w:r>
      <w:r>
        <w:rPr>
          <w:rFonts w:cstheme="minorHAnsi"/>
          <w:sz w:val="22"/>
          <w:szCs w:val="22"/>
        </w:rPr>
        <w:t xml:space="preserve"> They were successfully commissioned in February and are operating in the experiment.</w:t>
      </w:r>
    </w:p>
    <w:p w14:paraId="4EBE8862" w14:textId="77777777" w:rsidR="009E0270" w:rsidRPr="00717AEA" w:rsidRDefault="009E0270" w:rsidP="009E0270">
      <w:pPr>
        <w:pStyle w:val="ListParagraph"/>
        <w:rPr>
          <w:rFonts w:cstheme="minorHAnsi"/>
          <w:color w:val="000090"/>
          <w:sz w:val="22"/>
          <w:szCs w:val="22"/>
        </w:rPr>
      </w:pPr>
    </w:p>
    <w:p w14:paraId="7E82FB07" w14:textId="77777777" w:rsidR="004D10CE" w:rsidRDefault="004D10CE" w:rsidP="00CB3476">
      <w:pPr>
        <w:pStyle w:val="ListParagraph"/>
        <w:numPr>
          <w:ilvl w:val="0"/>
          <w:numId w:val="2"/>
        </w:numPr>
        <w:rPr>
          <w:rFonts w:cstheme="minorHAnsi"/>
          <w:color w:val="000090"/>
          <w:sz w:val="22"/>
          <w:szCs w:val="22"/>
        </w:rPr>
      </w:pPr>
      <w:r w:rsidRPr="00717AEA">
        <w:rPr>
          <w:rFonts w:cstheme="minorHAnsi"/>
          <w:color w:val="000090"/>
          <w:sz w:val="22"/>
          <w:szCs w:val="22"/>
        </w:rPr>
        <w:t xml:space="preserve">Computing: what risks are associated with having an operations team only 65% of the expected minimum? </w:t>
      </w:r>
    </w:p>
    <w:p w14:paraId="69F56044" w14:textId="77777777" w:rsidR="00990AAB" w:rsidRDefault="00990AAB" w:rsidP="00990AAB">
      <w:pPr>
        <w:pStyle w:val="ListParagraph"/>
        <w:rPr>
          <w:rFonts w:cstheme="minorHAnsi"/>
          <w:color w:val="000090"/>
          <w:sz w:val="22"/>
          <w:szCs w:val="22"/>
        </w:rPr>
      </w:pPr>
    </w:p>
    <w:p w14:paraId="057AF380" w14:textId="1C245C35" w:rsidR="00990AAB" w:rsidRPr="00990AAB" w:rsidRDefault="00990AAB" w:rsidP="00990AAB">
      <w:pPr>
        <w:pStyle w:val="ListParagraph"/>
        <w:rPr>
          <w:rFonts w:cstheme="minorHAnsi"/>
          <w:sz w:val="22"/>
          <w:szCs w:val="22"/>
        </w:rPr>
      </w:pPr>
      <w:r w:rsidRPr="00990AAB">
        <w:rPr>
          <w:rFonts w:cstheme="minorHAnsi"/>
          <w:sz w:val="22"/>
          <w:szCs w:val="22"/>
        </w:rPr>
        <w:t>A:</w:t>
      </w:r>
      <w:r w:rsidR="005E50D0">
        <w:rPr>
          <w:rFonts w:cstheme="minorHAnsi"/>
          <w:sz w:val="22"/>
          <w:szCs w:val="22"/>
        </w:rPr>
        <w:t xml:space="preserve"> We are vulnerable to the loss of individual staff members, including natural turnover of a few PhD students, for any reason. So far we have coped and been able to recruit people of similar calibre as replacements. The UK has a good record of delivery of services, both for analysis and Monte Carlo samples. However, the lack of margin does give rise to sleepless nights.</w:t>
      </w:r>
    </w:p>
    <w:p w14:paraId="01E53D2C" w14:textId="77777777" w:rsidR="004D10CE" w:rsidRPr="00717AEA" w:rsidRDefault="004D10CE" w:rsidP="004D10CE">
      <w:pPr>
        <w:pStyle w:val="ListParagraph"/>
        <w:rPr>
          <w:rFonts w:cstheme="minorHAnsi"/>
          <w:color w:val="000090"/>
          <w:sz w:val="22"/>
          <w:szCs w:val="22"/>
        </w:rPr>
      </w:pPr>
    </w:p>
    <w:p w14:paraId="52687DC0" w14:textId="77777777" w:rsidR="009E0270" w:rsidRDefault="004D10CE" w:rsidP="00CB3476">
      <w:pPr>
        <w:pStyle w:val="ListParagraph"/>
        <w:numPr>
          <w:ilvl w:val="0"/>
          <w:numId w:val="2"/>
        </w:numPr>
        <w:rPr>
          <w:rFonts w:cstheme="minorHAnsi"/>
          <w:color w:val="000090"/>
          <w:sz w:val="22"/>
          <w:szCs w:val="22"/>
        </w:rPr>
      </w:pPr>
      <w:r w:rsidRPr="00717AEA">
        <w:rPr>
          <w:rFonts w:cstheme="minorHAnsi"/>
          <w:color w:val="000090"/>
          <w:sz w:val="22"/>
          <w:szCs w:val="22"/>
        </w:rPr>
        <w:lastRenderedPageBreak/>
        <w:t>Physics: p7 what is meant by “top ma</w:t>
      </w:r>
      <w:r w:rsidR="00B04683" w:rsidRPr="00717AEA">
        <w:rPr>
          <w:rFonts w:cstheme="minorHAnsi"/>
          <w:color w:val="000090"/>
          <w:sz w:val="22"/>
          <w:szCs w:val="22"/>
        </w:rPr>
        <w:t>ss and mass difference”? Does the latter refer to</w:t>
      </w:r>
      <w:r w:rsidR="00922D60" w:rsidRPr="00717AEA">
        <w:rPr>
          <w:rFonts w:cstheme="minorHAnsi"/>
          <w:color w:val="000090"/>
          <w:sz w:val="22"/>
          <w:szCs w:val="22"/>
        </w:rPr>
        <w:t xml:space="preserve"> the top </w:t>
      </w:r>
      <w:proofErr w:type="spellStart"/>
      <w:r w:rsidR="00922D60" w:rsidRPr="00717AEA">
        <w:rPr>
          <w:rFonts w:cstheme="minorHAnsi"/>
          <w:color w:val="000090"/>
          <w:sz w:val="22"/>
          <w:szCs w:val="22"/>
        </w:rPr>
        <w:t>vs</w:t>
      </w:r>
      <w:proofErr w:type="spellEnd"/>
      <w:r w:rsidR="00922D60" w:rsidRPr="00717AEA">
        <w:rPr>
          <w:rFonts w:cstheme="minorHAnsi"/>
          <w:color w:val="000090"/>
          <w:sz w:val="22"/>
          <w:szCs w:val="22"/>
        </w:rPr>
        <w:t xml:space="preserve"> </w:t>
      </w:r>
      <w:r w:rsidRPr="00717AEA">
        <w:rPr>
          <w:rFonts w:cstheme="minorHAnsi"/>
          <w:color w:val="000090"/>
          <w:sz w:val="22"/>
          <w:szCs w:val="22"/>
        </w:rPr>
        <w:t xml:space="preserve">anti-top mass difference? </w:t>
      </w:r>
    </w:p>
    <w:p w14:paraId="111430E2" w14:textId="77777777" w:rsidR="00990AAB" w:rsidRDefault="00990AAB" w:rsidP="00990AAB">
      <w:pPr>
        <w:pStyle w:val="ListParagraph"/>
        <w:rPr>
          <w:rFonts w:cstheme="minorHAnsi"/>
          <w:color w:val="000090"/>
          <w:sz w:val="22"/>
          <w:szCs w:val="22"/>
        </w:rPr>
      </w:pPr>
    </w:p>
    <w:p w14:paraId="4EA40D7E" w14:textId="06A667E1" w:rsidR="00990AAB" w:rsidRPr="00990AAB" w:rsidRDefault="00990AAB" w:rsidP="00990AAB">
      <w:pPr>
        <w:pStyle w:val="ListParagraph"/>
        <w:rPr>
          <w:rFonts w:cstheme="minorHAnsi"/>
          <w:sz w:val="22"/>
          <w:szCs w:val="22"/>
        </w:rPr>
      </w:pPr>
      <w:r w:rsidRPr="00990AAB">
        <w:rPr>
          <w:rFonts w:cstheme="minorHAnsi"/>
          <w:sz w:val="22"/>
          <w:szCs w:val="22"/>
        </w:rPr>
        <w:t>A: Yes.</w:t>
      </w:r>
    </w:p>
    <w:p w14:paraId="0DAD1482" w14:textId="77777777" w:rsidR="0083396D" w:rsidRPr="00717AEA" w:rsidRDefault="0083396D" w:rsidP="0083396D">
      <w:pPr>
        <w:pStyle w:val="ListParagraph"/>
        <w:rPr>
          <w:rFonts w:cstheme="minorHAnsi"/>
          <w:color w:val="000090"/>
          <w:sz w:val="22"/>
          <w:szCs w:val="22"/>
        </w:rPr>
      </w:pPr>
    </w:p>
    <w:p w14:paraId="43F87CF8" w14:textId="77777777" w:rsidR="00825A31" w:rsidRDefault="00825A31" w:rsidP="00CB3476">
      <w:pPr>
        <w:pStyle w:val="ListParagraph"/>
        <w:numPr>
          <w:ilvl w:val="0"/>
          <w:numId w:val="2"/>
        </w:numPr>
        <w:rPr>
          <w:rFonts w:cstheme="minorHAnsi"/>
          <w:color w:val="000090"/>
          <w:sz w:val="22"/>
          <w:szCs w:val="22"/>
        </w:rPr>
      </w:pPr>
      <w:r w:rsidRPr="00717AEA">
        <w:rPr>
          <w:rFonts w:cstheme="minorHAnsi"/>
          <w:color w:val="000090"/>
          <w:sz w:val="22"/>
          <w:szCs w:val="22"/>
        </w:rPr>
        <w:t xml:space="preserve">Data “long-term-parking”: which types of triggers and/or streams </w:t>
      </w:r>
      <w:r w:rsidR="00792DD9" w:rsidRPr="00717AEA">
        <w:rPr>
          <w:rFonts w:cstheme="minorHAnsi"/>
          <w:color w:val="000090"/>
          <w:sz w:val="22"/>
          <w:szCs w:val="22"/>
        </w:rPr>
        <w:t>might</w:t>
      </w:r>
      <w:r w:rsidRPr="00717AEA">
        <w:rPr>
          <w:rFonts w:cstheme="minorHAnsi"/>
          <w:color w:val="000090"/>
          <w:sz w:val="22"/>
          <w:szCs w:val="22"/>
        </w:rPr>
        <w:t xml:space="preserve"> fall in this category? Are existing streams/triggers unaffected by this change? How does this modification extend the possible physics programme in 2013-2015?</w:t>
      </w:r>
    </w:p>
    <w:p w14:paraId="4EE6C842" w14:textId="77777777" w:rsidR="00413A75" w:rsidRDefault="00413A75" w:rsidP="00413A75">
      <w:pPr>
        <w:pStyle w:val="ListParagraph"/>
        <w:rPr>
          <w:rFonts w:cstheme="minorHAnsi"/>
          <w:sz w:val="22"/>
          <w:szCs w:val="22"/>
        </w:rPr>
      </w:pPr>
    </w:p>
    <w:p w14:paraId="25E69431" w14:textId="11A3F930" w:rsidR="00413A75" w:rsidRDefault="00413A75" w:rsidP="00413A75">
      <w:pPr>
        <w:pStyle w:val="ListParagraph"/>
        <w:rPr>
          <w:rFonts w:cstheme="minorHAnsi"/>
          <w:sz w:val="22"/>
          <w:szCs w:val="22"/>
        </w:rPr>
      </w:pPr>
      <w:r>
        <w:rPr>
          <w:rFonts w:cstheme="minorHAnsi"/>
          <w:sz w:val="22"/>
          <w:szCs w:val="22"/>
        </w:rPr>
        <w:t xml:space="preserve">A: The following information is taken from a recent presentation given to the LHCC by Oliver </w:t>
      </w:r>
      <w:proofErr w:type="spellStart"/>
      <w:r>
        <w:rPr>
          <w:rFonts w:cstheme="minorHAnsi"/>
          <w:sz w:val="22"/>
          <w:szCs w:val="22"/>
        </w:rPr>
        <w:t>Buchmüller</w:t>
      </w:r>
      <w:proofErr w:type="spellEnd"/>
      <w:r>
        <w:rPr>
          <w:rFonts w:cstheme="minorHAnsi"/>
          <w:sz w:val="22"/>
          <w:szCs w:val="22"/>
        </w:rPr>
        <w:t xml:space="preserve"> (Imperial). Existing triggers should be unaffected. </w:t>
      </w:r>
    </w:p>
    <w:p w14:paraId="58FE5289" w14:textId="77777777" w:rsidR="00413A75" w:rsidRDefault="00413A75" w:rsidP="00413A75">
      <w:pPr>
        <w:pStyle w:val="ListParagraph"/>
        <w:rPr>
          <w:rFonts w:cstheme="minorHAnsi"/>
          <w:sz w:val="22"/>
          <w:szCs w:val="22"/>
        </w:rPr>
      </w:pPr>
    </w:p>
    <w:p w14:paraId="25CC6A38" w14:textId="25E02370" w:rsidR="00413A75" w:rsidRDefault="00413A75" w:rsidP="00413A75">
      <w:pPr>
        <w:pStyle w:val="ListParagraph"/>
        <w:rPr>
          <w:rFonts w:cstheme="minorHAnsi"/>
          <w:i/>
          <w:iCs/>
          <w:sz w:val="22"/>
          <w:szCs w:val="22"/>
          <w:lang w:val="en-US"/>
        </w:rPr>
      </w:pPr>
      <w:r w:rsidRPr="00413A75">
        <w:rPr>
          <w:rFonts w:cstheme="minorHAnsi"/>
          <w:i/>
          <w:iCs/>
          <w:sz w:val="22"/>
          <w:szCs w:val="22"/>
          <w:lang w:val="en-US"/>
        </w:rPr>
        <w:t>Three, in part rather complex, activities in the areas of B Physics,</w:t>
      </w:r>
      <w:r>
        <w:rPr>
          <w:rFonts w:cstheme="minorHAnsi"/>
          <w:i/>
          <w:iCs/>
          <w:sz w:val="22"/>
          <w:szCs w:val="22"/>
          <w:lang w:val="en-US"/>
        </w:rPr>
        <w:t xml:space="preserve"> </w:t>
      </w:r>
      <w:r w:rsidRPr="00413A75">
        <w:rPr>
          <w:rFonts w:cstheme="minorHAnsi"/>
          <w:i/>
          <w:iCs/>
          <w:sz w:val="22"/>
          <w:szCs w:val="22"/>
          <w:lang w:val="en-US"/>
        </w:rPr>
        <w:t xml:space="preserve">SUSY and Higgs have been studied in detail to establish the </w:t>
      </w:r>
      <w:r>
        <w:rPr>
          <w:rFonts w:cstheme="minorHAnsi"/>
          <w:i/>
          <w:iCs/>
          <w:sz w:val="22"/>
          <w:szCs w:val="22"/>
          <w:lang w:val="en-US"/>
        </w:rPr>
        <w:t xml:space="preserve"> </w:t>
      </w:r>
      <w:r w:rsidRPr="00413A75">
        <w:rPr>
          <w:rFonts w:cstheme="minorHAnsi"/>
          <w:i/>
          <w:iCs/>
          <w:sz w:val="22"/>
          <w:szCs w:val="22"/>
          <w:lang w:val="en-US"/>
        </w:rPr>
        <w:t>physics case and feasibility of data parking/scouting in CMS:</w:t>
      </w:r>
    </w:p>
    <w:p w14:paraId="61FF2B61" w14:textId="77777777" w:rsidR="00413A75" w:rsidRPr="00413A75" w:rsidRDefault="00413A75" w:rsidP="00413A75">
      <w:pPr>
        <w:pStyle w:val="ListParagraph"/>
        <w:rPr>
          <w:rFonts w:cstheme="minorHAnsi"/>
          <w:sz w:val="22"/>
          <w:szCs w:val="22"/>
        </w:rPr>
      </w:pPr>
    </w:p>
    <w:p w14:paraId="2E139B2B" w14:textId="70A16DEB" w:rsidR="00413A75" w:rsidRPr="00413A75" w:rsidRDefault="00413A75" w:rsidP="00413A75">
      <w:pPr>
        <w:pStyle w:val="ListParagraph"/>
        <w:ind w:firstLine="273"/>
        <w:rPr>
          <w:rFonts w:cstheme="minorHAnsi"/>
          <w:sz w:val="22"/>
          <w:szCs w:val="22"/>
        </w:rPr>
      </w:pPr>
      <w:r w:rsidRPr="00413A75">
        <w:rPr>
          <w:rFonts w:cstheme="minorHAnsi"/>
          <w:i/>
          <w:iCs/>
          <w:sz w:val="22"/>
          <w:szCs w:val="22"/>
          <w:lang w:val="en-US"/>
        </w:rPr>
        <w:t>SUSY: compressed spectra (w/</w:t>
      </w:r>
      <w:proofErr w:type="spellStart"/>
      <w:r w:rsidRPr="00413A75">
        <w:rPr>
          <w:rFonts w:cstheme="minorHAnsi"/>
          <w:i/>
          <w:iCs/>
          <w:sz w:val="22"/>
          <w:szCs w:val="22"/>
          <w:lang w:val="en-US"/>
        </w:rPr>
        <w:t>wo</w:t>
      </w:r>
      <w:proofErr w:type="spellEnd"/>
      <w:r w:rsidRPr="00413A75">
        <w:rPr>
          <w:rFonts w:cstheme="minorHAnsi"/>
          <w:i/>
          <w:iCs/>
          <w:sz w:val="22"/>
          <w:szCs w:val="22"/>
          <w:lang w:val="en-US"/>
        </w:rPr>
        <w:t xml:space="preserve"> 3</w:t>
      </w:r>
      <w:r w:rsidRPr="00413A75">
        <w:rPr>
          <w:rFonts w:cstheme="minorHAnsi"/>
          <w:i/>
          <w:iCs/>
          <w:sz w:val="22"/>
          <w:szCs w:val="22"/>
          <w:vertAlign w:val="superscript"/>
          <w:lang w:val="en-US"/>
        </w:rPr>
        <w:t>rd</w:t>
      </w:r>
      <w:r>
        <w:rPr>
          <w:rFonts w:cstheme="minorHAnsi"/>
          <w:i/>
          <w:iCs/>
          <w:sz w:val="22"/>
          <w:szCs w:val="22"/>
          <w:lang w:val="en-US"/>
        </w:rPr>
        <w:t xml:space="preserve"> generation </w:t>
      </w:r>
      <w:proofErr w:type="spellStart"/>
      <w:r>
        <w:rPr>
          <w:rFonts w:cstheme="minorHAnsi"/>
          <w:i/>
          <w:iCs/>
          <w:sz w:val="22"/>
          <w:szCs w:val="22"/>
          <w:lang w:val="en-US"/>
        </w:rPr>
        <w:t>squ</w:t>
      </w:r>
      <w:r w:rsidRPr="00413A75">
        <w:rPr>
          <w:rFonts w:cstheme="minorHAnsi"/>
          <w:i/>
          <w:iCs/>
          <w:sz w:val="22"/>
          <w:szCs w:val="22"/>
          <w:lang w:val="en-US"/>
        </w:rPr>
        <w:t>a</w:t>
      </w:r>
      <w:r>
        <w:rPr>
          <w:rFonts w:cstheme="minorHAnsi"/>
          <w:i/>
          <w:iCs/>
          <w:sz w:val="22"/>
          <w:szCs w:val="22"/>
          <w:lang w:val="en-US"/>
        </w:rPr>
        <w:t>r</w:t>
      </w:r>
      <w:r w:rsidRPr="00413A75">
        <w:rPr>
          <w:rFonts w:cstheme="minorHAnsi"/>
          <w:i/>
          <w:iCs/>
          <w:sz w:val="22"/>
          <w:szCs w:val="22"/>
          <w:lang w:val="en-US"/>
        </w:rPr>
        <w:t>ks</w:t>
      </w:r>
      <w:proofErr w:type="spellEnd"/>
      <w:r w:rsidRPr="00413A75">
        <w:rPr>
          <w:rFonts w:cstheme="minorHAnsi"/>
          <w:i/>
          <w:iCs/>
          <w:sz w:val="22"/>
          <w:szCs w:val="22"/>
          <w:lang w:val="en-US"/>
        </w:rPr>
        <w:t>) ~ 50 Hz</w:t>
      </w:r>
    </w:p>
    <w:p w14:paraId="41349CA2" w14:textId="77777777" w:rsidR="00413A75" w:rsidRPr="00413A75" w:rsidRDefault="00413A75" w:rsidP="00413A75">
      <w:pPr>
        <w:pStyle w:val="ListParagraph"/>
        <w:ind w:firstLine="273"/>
        <w:rPr>
          <w:rFonts w:cstheme="minorHAnsi"/>
          <w:sz w:val="22"/>
          <w:szCs w:val="22"/>
        </w:rPr>
      </w:pPr>
      <w:r w:rsidRPr="00413A75">
        <w:rPr>
          <w:rFonts w:cstheme="minorHAnsi"/>
          <w:i/>
          <w:iCs/>
          <w:sz w:val="22"/>
          <w:szCs w:val="22"/>
          <w:lang w:val="en-US"/>
        </w:rPr>
        <w:t>VBF Higgs inclusive: Higgs properties &amp; decay modes: ~100 Hz</w:t>
      </w:r>
    </w:p>
    <w:p w14:paraId="1A69CECB" w14:textId="77777777" w:rsidR="00413A75" w:rsidRPr="00413A75" w:rsidRDefault="00413A75" w:rsidP="00413A75">
      <w:pPr>
        <w:pStyle w:val="ListParagraph"/>
        <w:ind w:firstLine="273"/>
        <w:rPr>
          <w:rFonts w:cstheme="minorHAnsi"/>
          <w:sz w:val="22"/>
          <w:szCs w:val="22"/>
        </w:rPr>
      </w:pPr>
      <w:r w:rsidRPr="00413A75">
        <w:rPr>
          <w:rFonts w:cstheme="minorHAnsi"/>
          <w:i/>
          <w:iCs/>
          <w:sz w:val="22"/>
          <w:szCs w:val="22"/>
          <w:lang w:val="en-US"/>
        </w:rPr>
        <w:t>B-Physics: precision measurements &amp; searches  ~ 75 Hz</w:t>
      </w:r>
    </w:p>
    <w:p w14:paraId="22BC3C15" w14:textId="77777777" w:rsidR="00413A75" w:rsidRDefault="00413A75" w:rsidP="00413A75">
      <w:pPr>
        <w:pStyle w:val="ListParagraph"/>
        <w:rPr>
          <w:rFonts w:cstheme="minorHAnsi"/>
          <w:i/>
          <w:iCs/>
          <w:sz w:val="22"/>
          <w:szCs w:val="22"/>
          <w:lang w:val="en-US"/>
        </w:rPr>
      </w:pPr>
    </w:p>
    <w:p w14:paraId="11FF97C6" w14:textId="5F522C62" w:rsidR="00413A75" w:rsidRPr="00A13EE1" w:rsidRDefault="00413A75" w:rsidP="00A13EE1">
      <w:pPr>
        <w:pStyle w:val="ListParagraph"/>
        <w:rPr>
          <w:rFonts w:cstheme="minorHAnsi"/>
          <w:sz w:val="22"/>
          <w:szCs w:val="22"/>
        </w:rPr>
      </w:pPr>
      <w:r w:rsidRPr="00413A75">
        <w:rPr>
          <w:rFonts w:cstheme="minorHAnsi"/>
          <w:i/>
          <w:iCs/>
          <w:sz w:val="22"/>
          <w:szCs w:val="22"/>
          <w:lang w:val="en-US"/>
        </w:rPr>
        <w:t>Additional data parking projects are currently under study (e.g.</w:t>
      </w:r>
      <w:r>
        <w:rPr>
          <w:rFonts w:cstheme="minorHAnsi"/>
          <w:i/>
          <w:iCs/>
          <w:sz w:val="22"/>
          <w:szCs w:val="22"/>
          <w:lang w:val="en-US"/>
        </w:rPr>
        <w:t xml:space="preserve"> </w:t>
      </w:r>
      <w:r w:rsidRPr="00413A75">
        <w:rPr>
          <w:rFonts w:cstheme="minorHAnsi"/>
          <w:i/>
          <w:iCs/>
          <w:sz w:val="22"/>
          <w:szCs w:val="22"/>
          <w:lang w:val="en-US"/>
        </w:rPr>
        <w:t>lowering single lepton trigger thresholds to record more W/Z/Top</w:t>
      </w:r>
      <w:r>
        <w:rPr>
          <w:rFonts w:cstheme="minorHAnsi"/>
          <w:i/>
          <w:iCs/>
          <w:sz w:val="22"/>
          <w:szCs w:val="22"/>
          <w:lang w:val="en-US"/>
        </w:rPr>
        <w:t xml:space="preserve"> </w:t>
      </w:r>
      <w:r w:rsidRPr="00413A75">
        <w:rPr>
          <w:rFonts w:cstheme="minorHAnsi"/>
          <w:i/>
          <w:iCs/>
          <w:sz w:val="22"/>
          <w:szCs w:val="22"/>
          <w:lang w:val="en-US"/>
        </w:rPr>
        <w:t>decays).</w:t>
      </w:r>
      <w:r w:rsidR="00A13EE1">
        <w:rPr>
          <w:rFonts w:cstheme="minorHAnsi"/>
          <w:i/>
          <w:iCs/>
          <w:sz w:val="22"/>
          <w:szCs w:val="22"/>
          <w:lang w:val="en-US"/>
        </w:rPr>
        <w:t xml:space="preserve"> </w:t>
      </w:r>
      <w:r w:rsidR="0048056B" w:rsidRPr="00A13EE1">
        <w:rPr>
          <w:rFonts w:cstheme="minorHAnsi"/>
          <w:i/>
          <w:iCs/>
          <w:sz w:val="22"/>
          <w:szCs w:val="22"/>
          <w:lang w:val="en-US"/>
        </w:rPr>
        <w:t>In total we expected</w:t>
      </w:r>
      <w:r w:rsidRPr="00A13EE1">
        <w:rPr>
          <w:rFonts w:cstheme="minorHAnsi"/>
          <w:i/>
          <w:iCs/>
          <w:sz w:val="22"/>
          <w:szCs w:val="22"/>
          <w:lang w:val="en-US"/>
        </w:rPr>
        <w:t xml:space="preserve"> data parking proposals worth ~500 Hz, which will be categorized in short- and long-term parking.  We will prioritize them and ramp up data-parking over time during the 2012 run.</w:t>
      </w:r>
    </w:p>
    <w:p w14:paraId="17A99718" w14:textId="77777777" w:rsidR="00413A75" w:rsidRDefault="00413A75" w:rsidP="00413A75">
      <w:pPr>
        <w:pStyle w:val="ListParagraph"/>
        <w:rPr>
          <w:rFonts w:cstheme="minorHAnsi"/>
          <w:i/>
          <w:iCs/>
          <w:sz w:val="22"/>
          <w:szCs w:val="22"/>
          <w:lang w:val="en-US"/>
        </w:rPr>
      </w:pPr>
    </w:p>
    <w:p w14:paraId="3EFDC7FA" w14:textId="77777777" w:rsidR="00652272" w:rsidRPr="00413A75" w:rsidRDefault="00413A75" w:rsidP="00413A75">
      <w:pPr>
        <w:pStyle w:val="ListParagraph"/>
        <w:rPr>
          <w:rFonts w:cstheme="minorHAnsi"/>
          <w:sz w:val="22"/>
          <w:szCs w:val="22"/>
        </w:rPr>
      </w:pPr>
      <w:r w:rsidRPr="00413A75">
        <w:rPr>
          <w:rFonts w:cstheme="minorHAnsi"/>
          <w:i/>
          <w:iCs/>
          <w:sz w:val="22"/>
          <w:szCs w:val="22"/>
          <w:lang w:val="en-US"/>
        </w:rPr>
        <w:t>By 2013 CMS will have recorded and processed enough data to address the most important questions of the initial physics program; i.e. the search for New Physics at the 1-TeV scale and establishment or exclusion of a SM-like Higgs boson.</w:t>
      </w:r>
    </w:p>
    <w:p w14:paraId="345F3D93" w14:textId="77777777" w:rsidR="00413A75" w:rsidRDefault="00413A75" w:rsidP="00413A75">
      <w:pPr>
        <w:pStyle w:val="ListParagraph"/>
        <w:rPr>
          <w:rFonts w:cstheme="minorHAnsi"/>
          <w:i/>
          <w:iCs/>
          <w:sz w:val="22"/>
          <w:szCs w:val="22"/>
          <w:lang w:val="en-US"/>
        </w:rPr>
      </w:pPr>
    </w:p>
    <w:p w14:paraId="4ED0FA7B" w14:textId="77777777" w:rsidR="00652272" w:rsidRPr="00413A75" w:rsidRDefault="00413A75" w:rsidP="00413A75">
      <w:pPr>
        <w:pStyle w:val="ListParagraph"/>
        <w:rPr>
          <w:rFonts w:cstheme="minorHAnsi"/>
          <w:sz w:val="22"/>
          <w:szCs w:val="22"/>
        </w:rPr>
      </w:pPr>
      <w:r w:rsidRPr="00413A75">
        <w:rPr>
          <w:rFonts w:cstheme="minorHAnsi"/>
          <w:i/>
          <w:iCs/>
          <w:sz w:val="22"/>
          <w:szCs w:val="22"/>
          <w:lang w:val="en-US"/>
        </w:rPr>
        <w:t>These additional data will provide the opportunity of a much-extended CMS physics program in the two-year long shutdown (and before) ranging from precision SM measurements to possible discoveries.</w:t>
      </w:r>
    </w:p>
    <w:p w14:paraId="2EDF0359" w14:textId="77777777" w:rsidR="00845D79" w:rsidRPr="00717AEA" w:rsidRDefault="00845D79" w:rsidP="00845D79">
      <w:pPr>
        <w:pStyle w:val="ListParagraph"/>
        <w:rPr>
          <w:rFonts w:cstheme="minorHAnsi"/>
          <w:color w:val="000090"/>
          <w:sz w:val="22"/>
          <w:szCs w:val="22"/>
        </w:rPr>
      </w:pPr>
    </w:p>
    <w:p w14:paraId="3C902B39" w14:textId="77777777" w:rsidR="00760379" w:rsidRPr="00717AEA" w:rsidRDefault="00845D79" w:rsidP="00605CEF">
      <w:pPr>
        <w:pStyle w:val="ListParagraph"/>
        <w:numPr>
          <w:ilvl w:val="0"/>
          <w:numId w:val="2"/>
        </w:numPr>
        <w:rPr>
          <w:rFonts w:cstheme="minorHAnsi"/>
          <w:color w:val="000090"/>
          <w:sz w:val="22"/>
          <w:szCs w:val="22"/>
        </w:rPr>
      </w:pPr>
      <w:r w:rsidRPr="00717AEA">
        <w:rPr>
          <w:rFonts w:cstheme="minorHAnsi"/>
          <w:color w:val="000090"/>
          <w:sz w:val="22"/>
          <w:szCs w:val="22"/>
        </w:rPr>
        <w:t xml:space="preserve">Physics effort (2.1.4):   Given their significant request for academic time, it is surprising that Brunel do not have any RG or Other support.  </w:t>
      </w:r>
      <w:r w:rsidR="00605CEF" w:rsidRPr="00717AEA">
        <w:rPr>
          <w:rFonts w:cstheme="minorHAnsi"/>
          <w:color w:val="000090"/>
          <w:sz w:val="22"/>
          <w:szCs w:val="22"/>
        </w:rPr>
        <w:t xml:space="preserve">Has such support been </w:t>
      </w:r>
      <w:r w:rsidR="00861246" w:rsidRPr="00717AEA">
        <w:rPr>
          <w:rFonts w:cstheme="minorHAnsi"/>
          <w:color w:val="000090"/>
          <w:sz w:val="22"/>
          <w:szCs w:val="22"/>
        </w:rPr>
        <w:t xml:space="preserve">previously </w:t>
      </w:r>
      <w:r w:rsidR="0063066E" w:rsidRPr="00717AEA">
        <w:rPr>
          <w:rFonts w:cstheme="minorHAnsi"/>
          <w:color w:val="000090"/>
          <w:sz w:val="22"/>
          <w:szCs w:val="22"/>
        </w:rPr>
        <w:t>sought</w:t>
      </w:r>
      <w:r w:rsidR="00E60255" w:rsidRPr="00717AEA">
        <w:rPr>
          <w:rFonts w:cstheme="minorHAnsi"/>
          <w:color w:val="000090"/>
          <w:sz w:val="22"/>
          <w:szCs w:val="22"/>
        </w:rPr>
        <w:t xml:space="preserve"> </w:t>
      </w:r>
      <w:r w:rsidR="007C7D72" w:rsidRPr="00717AEA">
        <w:rPr>
          <w:rFonts w:cstheme="minorHAnsi"/>
          <w:color w:val="000090"/>
          <w:sz w:val="22"/>
          <w:szCs w:val="22"/>
        </w:rPr>
        <w:t>from PPGP or elsewhere</w:t>
      </w:r>
      <w:r w:rsidR="005A0611" w:rsidRPr="00717AEA">
        <w:rPr>
          <w:rFonts w:cstheme="minorHAnsi"/>
          <w:color w:val="000090"/>
          <w:sz w:val="22"/>
          <w:szCs w:val="22"/>
        </w:rPr>
        <w:t>?</w:t>
      </w:r>
    </w:p>
    <w:p w14:paraId="01D704E6" w14:textId="77777777" w:rsidR="00760379" w:rsidRDefault="00760379" w:rsidP="00760379">
      <w:pPr>
        <w:pStyle w:val="ListParagraph"/>
        <w:rPr>
          <w:rFonts w:cstheme="minorHAnsi"/>
          <w:color w:val="000090"/>
          <w:sz w:val="22"/>
          <w:szCs w:val="22"/>
        </w:rPr>
      </w:pPr>
    </w:p>
    <w:p w14:paraId="637AD91E" w14:textId="11FE9BD9" w:rsidR="0048056B" w:rsidRPr="0048056B" w:rsidRDefault="0048056B" w:rsidP="00760379">
      <w:pPr>
        <w:pStyle w:val="ListParagraph"/>
        <w:rPr>
          <w:rFonts w:cstheme="minorHAnsi"/>
          <w:sz w:val="22"/>
          <w:szCs w:val="22"/>
        </w:rPr>
      </w:pPr>
      <w:r w:rsidRPr="0048056B">
        <w:rPr>
          <w:rFonts w:cstheme="minorHAnsi"/>
          <w:sz w:val="22"/>
          <w:szCs w:val="22"/>
        </w:rPr>
        <w:t>A: Yes, RG s</w:t>
      </w:r>
      <w:r>
        <w:rPr>
          <w:rFonts w:cstheme="minorHAnsi"/>
          <w:sz w:val="22"/>
          <w:szCs w:val="22"/>
        </w:rPr>
        <w:t>upport was sought from the PPGP and given in the past. The last cycle was a particularly tough one, although Brunel have made noteworthy contributions</w:t>
      </w:r>
      <w:r w:rsidR="001118CE">
        <w:rPr>
          <w:rFonts w:cstheme="minorHAnsi"/>
          <w:sz w:val="22"/>
          <w:szCs w:val="22"/>
        </w:rPr>
        <w:t xml:space="preserve"> to CMS</w:t>
      </w:r>
      <w:r>
        <w:rPr>
          <w:rFonts w:cstheme="minorHAnsi"/>
          <w:sz w:val="22"/>
          <w:szCs w:val="22"/>
        </w:rPr>
        <w:t xml:space="preserve">, </w:t>
      </w:r>
      <w:proofErr w:type="spellStart"/>
      <w:r>
        <w:rPr>
          <w:rFonts w:cstheme="minorHAnsi"/>
          <w:sz w:val="22"/>
          <w:szCs w:val="22"/>
        </w:rPr>
        <w:t>eg</w:t>
      </w:r>
      <w:proofErr w:type="spellEnd"/>
      <w:r>
        <w:rPr>
          <w:rFonts w:cstheme="minorHAnsi"/>
          <w:sz w:val="22"/>
          <w:szCs w:val="22"/>
        </w:rPr>
        <w:t xml:space="preserve"> in the VPT work, computing provision and, recently, physics, particularly via students. We think the details of the request and its history should be explored directly </w:t>
      </w:r>
      <w:r w:rsidR="00AA7E9E">
        <w:rPr>
          <w:rFonts w:cstheme="minorHAnsi"/>
          <w:sz w:val="22"/>
          <w:szCs w:val="22"/>
        </w:rPr>
        <w:t xml:space="preserve">with Brunel </w:t>
      </w:r>
      <w:r>
        <w:rPr>
          <w:rFonts w:cstheme="minorHAnsi"/>
          <w:sz w:val="22"/>
          <w:szCs w:val="22"/>
        </w:rPr>
        <w:t>as the</w:t>
      </w:r>
      <w:r w:rsidR="000816D2">
        <w:rPr>
          <w:rFonts w:cstheme="minorHAnsi"/>
          <w:sz w:val="22"/>
          <w:szCs w:val="22"/>
        </w:rPr>
        <w:t>ir grant</w:t>
      </w:r>
      <w:r>
        <w:rPr>
          <w:rFonts w:cstheme="minorHAnsi"/>
          <w:sz w:val="22"/>
          <w:szCs w:val="22"/>
        </w:rPr>
        <w:t xml:space="preserve"> request is scrutinised.</w:t>
      </w:r>
    </w:p>
    <w:p w14:paraId="7272274D" w14:textId="77777777" w:rsidR="0048056B" w:rsidRPr="00717AEA" w:rsidRDefault="0048056B" w:rsidP="00760379">
      <w:pPr>
        <w:pStyle w:val="ListParagraph"/>
        <w:rPr>
          <w:rFonts w:cstheme="minorHAnsi"/>
          <w:color w:val="000090"/>
          <w:sz w:val="22"/>
          <w:szCs w:val="22"/>
        </w:rPr>
      </w:pPr>
    </w:p>
    <w:p w14:paraId="1292DCFA" w14:textId="77777777" w:rsidR="009B20FC" w:rsidRDefault="0083396D" w:rsidP="009F42A2">
      <w:pPr>
        <w:pStyle w:val="ListParagraph"/>
        <w:numPr>
          <w:ilvl w:val="0"/>
          <w:numId w:val="2"/>
        </w:numPr>
        <w:rPr>
          <w:rFonts w:cstheme="minorHAnsi"/>
          <w:color w:val="000090"/>
          <w:sz w:val="22"/>
          <w:szCs w:val="22"/>
        </w:rPr>
      </w:pPr>
      <w:r w:rsidRPr="00717AEA">
        <w:rPr>
          <w:rFonts w:cstheme="minorHAnsi"/>
          <w:color w:val="000090"/>
          <w:sz w:val="22"/>
          <w:szCs w:val="22"/>
        </w:rPr>
        <w:t>Please provide one or more tables where M&amp;O project commitments and Physics effort are broken down by financial year, and with separate entries for:</w:t>
      </w:r>
      <w:r w:rsidRPr="00717AEA">
        <w:rPr>
          <w:rFonts w:cstheme="minorHAnsi"/>
          <w:color w:val="000090"/>
          <w:sz w:val="22"/>
          <w:szCs w:val="22"/>
        </w:rPr>
        <w:br/>
        <w:t>* Academic effort</w:t>
      </w:r>
      <w:r w:rsidRPr="00717AEA">
        <w:rPr>
          <w:rFonts w:cstheme="minorHAnsi"/>
          <w:color w:val="000090"/>
          <w:sz w:val="22"/>
          <w:szCs w:val="22"/>
        </w:rPr>
        <w:br/>
        <w:t>* Core effort</w:t>
      </w:r>
      <w:r w:rsidRPr="00717AEA">
        <w:rPr>
          <w:rFonts w:cstheme="minorHAnsi"/>
          <w:color w:val="000090"/>
          <w:sz w:val="22"/>
          <w:szCs w:val="22"/>
        </w:rPr>
        <w:br/>
        <w:t>* Responsive effort</w:t>
      </w:r>
      <w:r w:rsidRPr="00717AEA">
        <w:rPr>
          <w:rFonts w:cstheme="minorHAnsi"/>
          <w:color w:val="000090"/>
          <w:sz w:val="22"/>
          <w:szCs w:val="22"/>
        </w:rPr>
        <w:br/>
        <w:t>* New CG effort</w:t>
      </w:r>
    </w:p>
    <w:p w14:paraId="151FC996" w14:textId="77777777" w:rsidR="009B20FC" w:rsidRDefault="009B20FC" w:rsidP="009B20FC">
      <w:pPr>
        <w:pStyle w:val="ListParagraph"/>
        <w:rPr>
          <w:rFonts w:cstheme="minorHAnsi"/>
          <w:color w:val="000090"/>
          <w:sz w:val="22"/>
          <w:szCs w:val="22"/>
        </w:rPr>
      </w:pPr>
    </w:p>
    <w:p w14:paraId="30E3A134" w14:textId="74DDAB24" w:rsidR="0083396D" w:rsidRPr="009B20FC" w:rsidRDefault="009B20FC" w:rsidP="009B20FC">
      <w:pPr>
        <w:pStyle w:val="ListParagraph"/>
        <w:rPr>
          <w:rFonts w:cstheme="minorHAnsi"/>
          <w:sz w:val="22"/>
          <w:szCs w:val="22"/>
        </w:rPr>
      </w:pPr>
      <w:r w:rsidRPr="009B20FC">
        <w:rPr>
          <w:rFonts w:cstheme="minorHAnsi"/>
          <w:sz w:val="22"/>
          <w:szCs w:val="22"/>
        </w:rPr>
        <w:lastRenderedPageBreak/>
        <w:t>A:  We will provide this information as soon as possible. Easter, and vacations, makes this difficult.</w:t>
      </w:r>
      <w:r w:rsidR="0083396D" w:rsidRPr="009B20FC">
        <w:rPr>
          <w:rFonts w:cstheme="minorHAnsi"/>
          <w:sz w:val="22"/>
          <w:szCs w:val="22"/>
        </w:rPr>
        <w:br w:type="textWrapping" w:clear="all"/>
      </w:r>
    </w:p>
    <w:p w14:paraId="27AC23D5" w14:textId="77777777" w:rsidR="009E0270" w:rsidRPr="00717AEA" w:rsidRDefault="00D93195" w:rsidP="00795894">
      <w:pPr>
        <w:pStyle w:val="ListParagraph"/>
        <w:numPr>
          <w:ilvl w:val="0"/>
          <w:numId w:val="2"/>
        </w:numPr>
        <w:rPr>
          <w:rFonts w:cstheme="minorHAnsi"/>
          <w:color w:val="000090"/>
          <w:sz w:val="22"/>
          <w:szCs w:val="22"/>
        </w:rPr>
      </w:pPr>
      <w:r w:rsidRPr="00717AEA">
        <w:rPr>
          <w:rFonts w:cstheme="minorHAnsi"/>
          <w:color w:val="000090"/>
          <w:sz w:val="22"/>
          <w:szCs w:val="22"/>
        </w:rPr>
        <w:t>Please provide a brief description of the experiments' management structure, including typical responsibilities and size of group managed at each level (and orga</w:t>
      </w:r>
      <w:r w:rsidR="008568A8" w:rsidRPr="00717AEA">
        <w:rPr>
          <w:rFonts w:cstheme="minorHAnsi"/>
          <w:color w:val="000090"/>
          <w:sz w:val="22"/>
          <w:szCs w:val="22"/>
        </w:rPr>
        <w:t xml:space="preserve">nograms if appropriate), and an </w:t>
      </w:r>
      <w:r w:rsidRPr="00717AEA">
        <w:rPr>
          <w:rFonts w:cstheme="minorHAnsi"/>
          <w:color w:val="000090"/>
          <w:sz w:val="22"/>
          <w:szCs w:val="22"/>
        </w:rPr>
        <w:t xml:space="preserve">indication for each </w:t>
      </w:r>
      <w:r w:rsidR="008568A8" w:rsidRPr="00717AEA">
        <w:rPr>
          <w:rFonts w:cstheme="minorHAnsi"/>
          <w:color w:val="000090"/>
          <w:sz w:val="22"/>
          <w:szCs w:val="22"/>
        </w:rPr>
        <w:t xml:space="preserve">CMS </w:t>
      </w:r>
      <w:r w:rsidRPr="00717AEA">
        <w:rPr>
          <w:rFonts w:cstheme="minorHAnsi"/>
          <w:color w:val="000090"/>
          <w:sz w:val="22"/>
          <w:szCs w:val="22"/>
        </w:rPr>
        <w:t>role in appendix 1 of what level it is. This is requested just for experimental responsibilities, not for roles within the UK organisation.</w:t>
      </w:r>
    </w:p>
    <w:p w14:paraId="11E767FE" w14:textId="77777777" w:rsidR="00795894" w:rsidRDefault="00795894" w:rsidP="00795894">
      <w:pPr>
        <w:pStyle w:val="ListParagraph"/>
        <w:rPr>
          <w:rFonts w:cstheme="minorHAnsi"/>
          <w:color w:val="000090"/>
          <w:sz w:val="22"/>
          <w:szCs w:val="22"/>
        </w:rPr>
      </w:pPr>
    </w:p>
    <w:p w14:paraId="1BFB8298" w14:textId="26E1146E" w:rsidR="00044483" w:rsidRDefault="00044483" w:rsidP="00795894">
      <w:pPr>
        <w:pStyle w:val="ListParagraph"/>
        <w:rPr>
          <w:rFonts w:cstheme="minorHAnsi"/>
          <w:sz w:val="22"/>
          <w:szCs w:val="22"/>
        </w:rPr>
      </w:pPr>
      <w:r w:rsidRPr="00044483">
        <w:rPr>
          <w:rFonts w:cstheme="minorHAnsi"/>
          <w:sz w:val="22"/>
          <w:szCs w:val="22"/>
        </w:rPr>
        <w:t>A: several organograms are attached to this</w:t>
      </w:r>
      <w:r>
        <w:rPr>
          <w:rFonts w:cstheme="minorHAnsi"/>
          <w:sz w:val="22"/>
          <w:szCs w:val="22"/>
        </w:rPr>
        <w:t xml:space="preserve"> document. In a collaboration of ~3000 people, it is difficult to give hard answers about the size of groups managed. For example the Tracker has ~500 authors, different physics areas are populated according to current popularity (the largest fraction of physics papers was in Exotics up to now, which represents a large number of small efforts), while the Higgs groups are fewer, etc. Hopefully the organograms give some insight into the organisation and PPGP members involved in CMS or ATLAS can provide supplementary </w:t>
      </w:r>
      <w:r w:rsidR="009B20FC">
        <w:rPr>
          <w:rFonts w:cstheme="minorHAnsi"/>
          <w:sz w:val="22"/>
          <w:szCs w:val="22"/>
        </w:rPr>
        <w:t>comments</w:t>
      </w:r>
      <w:bookmarkStart w:id="0" w:name="_GoBack"/>
      <w:bookmarkEnd w:id="0"/>
      <w:r>
        <w:rPr>
          <w:rFonts w:cstheme="minorHAnsi"/>
          <w:sz w:val="22"/>
          <w:szCs w:val="22"/>
        </w:rPr>
        <w:t>.</w:t>
      </w:r>
    </w:p>
    <w:p w14:paraId="4C742024" w14:textId="77777777" w:rsidR="00156FAC" w:rsidRDefault="00156FAC" w:rsidP="00795894">
      <w:pPr>
        <w:pStyle w:val="ListParagraph"/>
        <w:rPr>
          <w:rFonts w:cstheme="minorHAnsi"/>
          <w:sz w:val="22"/>
          <w:szCs w:val="22"/>
        </w:rPr>
      </w:pPr>
    </w:p>
    <w:p w14:paraId="1E01F626" w14:textId="3E586D14" w:rsidR="00156FAC" w:rsidRDefault="00156FAC" w:rsidP="00795894">
      <w:pPr>
        <w:pStyle w:val="ListParagraph"/>
        <w:rPr>
          <w:rFonts w:cstheme="minorHAnsi"/>
          <w:sz w:val="22"/>
          <w:szCs w:val="22"/>
        </w:rPr>
      </w:pPr>
      <w:r>
        <w:rPr>
          <w:rFonts w:cstheme="minorHAnsi"/>
          <w:sz w:val="22"/>
          <w:szCs w:val="22"/>
        </w:rPr>
        <w:t>A version of the table of CMS responsibilities is appended giving a rough indication of the level of responsibility. It should be noted that the designations L1-3 do not always correspond to official CMS levels.</w:t>
      </w:r>
    </w:p>
    <w:p w14:paraId="7209555A" w14:textId="77777777" w:rsidR="00044483" w:rsidRDefault="00044483" w:rsidP="00795894">
      <w:pPr>
        <w:pStyle w:val="ListParagraph"/>
        <w:rPr>
          <w:rFonts w:cstheme="minorHAnsi"/>
          <w:sz w:val="22"/>
          <w:szCs w:val="22"/>
        </w:rPr>
      </w:pPr>
    </w:p>
    <w:p w14:paraId="228FA42F" w14:textId="6E8B0CC8" w:rsidR="00FE6FC8" w:rsidRDefault="00FE6FC8" w:rsidP="00795894">
      <w:pPr>
        <w:pStyle w:val="ListParagraph"/>
        <w:rPr>
          <w:rFonts w:cstheme="minorHAnsi"/>
          <w:sz w:val="22"/>
          <w:szCs w:val="22"/>
        </w:rPr>
      </w:pPr>
      <w:r>
        <w:rPr>
          <w:rFonts w:cstheme="minorHAnsi"/>
          <w:noProof/>
          <w:sz w:val="22"/>
          <w:szCs w:val="22"/>
          <w:lang w:val="en-US"/>
        </w:rPr>
        <w:drawing>
          <wp:inline distT="0" distB="0" distL="0" distR="0" wp14:anchorId="6776560E" wp14:editId="6EF117BA">
            <wp:extent cx="5731510" cy="4050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S-MB-Organigram-2012-v5.pdf"/>
                    <pic:cNvPicPr/>
                  </pic:nvPicPr>
                  <pic:blipFill>
                    <a:blip r:embed="rId9">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p>
    <w:p w14:paraId="32283108" w14:textId="77777777" w:rsidR="00FE6FC8" w:rsidRDefault="00FE6FC8" w:rsidP="00795894">
      <w:pPr>
        <w:pStyle w:val="ListParagraph"/>
        <w:rPr>
          <w:rFonts w:cstheme="minorHAnsi"/>
          <w:sz w:val="22"/>
          <w:szCs w:val="22"/>
        </w:rPr>
      </w:pPr>
    </w:p>
    <w:p w14:paraId="4AEDE07D" w14:textId="3998C100" w:rsidR="00FE6FC8" w:rsidRDefault="00FE6FC8" w:rsidP="00795894">
      <w:pPr>
        <w:pStyle w:val="ListParagraph"/>
        <w:rPr>
          <w:rFonts w:cstheme="minorHAnsi"/>
          <w:sz w:val="22"/>
          <w:szCs w:val="22"/>
        </w:rPr>
      </w:pPr>
      <w:r>
        <w:rPr>
          <w:rFonts w:cstheme="minorHAnsi"/>
          <w:noProof/>
          <w:sz w:val="22"/>
          <w:szCs w:val="22"/>
          <w:lang w:val="en-US"/>
        </w:rPr>
        <w:lastRenderedPageBreak/>
        <w:drawing>
          <wp:inline distT="0" distB="0" distL="0" distR="0" wp14:anchorId="3430E695" wp14:editId="5A3C5468">
            <wp:extent cx="5731510" cy="40500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01_15_CMS-XEB-Organigram.pdf"/>
                    <pic:cNvPicPr/>
                  </pic:nvPicPr>
                  <pic:blipFill>
                    <a:blip r:embed="rId10">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p>
    <w:p w14:paraId="577F09CC" w14:textId="77777777" w:rsidR="00FE6FC8" w:rsidRDefault="00FE6FC8" w:rsidP="00795894">
      <w:pPr>
        <w:pStyle w:val="ListParagraph"/>
        <w:rPr>
          <w:rFonts w:cstheme="minorHAnsi"/>
          <w:sz w:val="22"/>
          <w:szCs w:val="22"/>
        </w:rPr>
      </w:pPr>
    </w:p>
    <w:p w14:paraId="3FA7C627" w14:textId="7A1F0249" w:rsidR="00FE6FC8" w:rsidRDefault="00FE6FC8" w:rsidP="00795894">
      <w:pPr>
        <w:pStyle w:val="ListParagraph"/>
        <w:rPr>
          <w:rFonts w:cstheme="minorHAnsi"/>
          <w:sz w:val="22"/>
          <w:szCs w:val="22"/>
        </w:rPr>
      </w:pPr>
      <w:r>
        <w:rPr>
          <w:rFonts w:cstheme="minorHAnsi"/>
          <w:noProof/>
          <w:sz w:val="22"/>
          <w:szCs w:val="22"/>
          <w:lang w:val="en-US"/>
        </w:rPr>
        <w:drawing>
          <wp:inline distT="0" distB="0" distL="0" distR="0" wp14:anchorId="12A7B3B7" wp14:editId="0D5B1B71">
            <wp:extent cx="5731510" cy="44716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S-CB-organigram.pdf"/>
                    <pic:cNvPicPr/>
                  </pic:nvPicPr>
                  <pic:blipFill>
                    <a:blip r:embed="rId11">
                      <a:extLst>
                        <a:ext uri="{28A0092B-C50C-407E-A947-70E740481C1C}">
                          <a14:useLocalDpi xmlns:a14="http://schemas.microsoft.com/office/drawing/2010/main" val="0"/>
                        </a:ext>
                      </a:extLst>
                    </a:blip>
                    <a:stretch>
                      <a:fillRect/>
                    </a:stretch>
                  </pic:blipFill>
                  <pic:spPr>
                    <a:xfrm>
                      <a:off x="0" y="0"/>
                      <a:ext cx="5731510" cy="4471670"/>
                    </a:xfrm>
                    <a:prstGeom prst="rect">
                      <a:avLst/>
                    </a:prstGeom>
                  </pic:spPr>
                </pic:pic>
              </a:graphicData>
            </a:graphic>
          </wp:inline>
        </w:drawing>
      </w:r>
    </w:p>
    <w:p w14:paraId="5C9BCF20" w14:textId="77777777" w:rsidR="00156FAC" w:rsidRDefault="00156FAC" w:rsidP="00795894">
      <w:pPr>
        <w:pStyle w:val="ListParagraph"/>
        <w:rPr>
          <w:rFonts w:cstheme="minorHAnsi"/>
          <w:sz w:val="22"/>
          <w:szCs w:val="22"/>
        </w:rPr>
      </w:pPr>
    </w:p>
    <w:tbl>
      <w:tblPr>
        <w:tblW w:w="7870" w:type="dxa"/>
        <w:tblInd w:w="93" w:type="dxa"/>
        <w:tblLook w:val="04A0" w:firstRow="1" w:lastRow="0" w:firstColumn="1" w:lastColumn="0" w:noHBand="0" w:noVBand="1"/>
      </w:tblPr>
      <w:tblGrid>
        <w:gridCol w:w="1483"/>
        <w:gridCol w:w="5670"/>
        <w:gridCol w:w="717"/>
      </w:tblGrid>
      <w:tr w:rsidR="00156FAC" w:rsidRPr="00156FAC" w14:paraId="3A0A0DD1" w14:textId="77777777" w:rsidTr="00156FAC">
        <w:trPr>
          <w:trHeight w:val="280"/>
        </w:trPr>
        <w:tc>
          <w:tcPr>
            <w:tcW w:w="1483" w:type="dxa"/>
            <w:tcBorders>
              <w:top w:val="single" w:sz="4" w:space="0" w:color="auto"/>
              <w:left w:val="single" w:sz="4" w:space="0" w:color="auto"/>
              <w:bottom w:val="nil"/>
              <w:right w:val="single" w:sz="4" w:space="0" w:color="auto"/>
            </w:tcBorders>
            <w:shd w:val="clear" w:color="auto" w:fill="auto"/>
            <w:noWrap/>
            <w:vAlign w:val="bottom"/>
            <w:hideMark/>
          </w:tcPr>
          <w:p w14:paraId="2FDBE3B9" w14:textId="77777777" w:rsidR="00156FAC" w:rsidRPr="00156FAC" w:rsidRDefault="00156FAC" w:rsidP="00156FAC">
            <w:pPr>
              <w:spacing w:after="0"/>
              <w:rPr>
                <w:rFonts w:ascii="Times New Roman" w:eastAsia="Times New Roman" w:hAnsi="Times New Roman" w:cs="Times New Roman"/>
                <w:b/>
                <w:bCs/>
                <w:sz w:val="22"/>
                <w:szCs w:val="22"/>
              </w:rPr>
            </w:pPr>
            <w:r w:rsidRPr="00156FAC">
              <w:rPr>
                <w:rFonts w:ascii="Times New Roman" w:eastAsia="Times New Roman" w:hAnsi="Times New Roman" w:cs="Times New Roman"/>
                <w:b/>
                <w:bCs/>
                <w:sz w:val="22"/>
                <w:szCs w:val="22"/>
              </w:rPr>
              <w:lastRenderedPageBreak/>
              <w:t>Appendix (</w:t>
            </w:r>
            <w:proofErr w:type="spellStart"/>
            <w:r w:rsidRPr="00156FAC">
              <w:rPr>
                <w:rFonts w:ascii="Times New Roman" w:eastAsia="Times New Roman" w:hAnsi="Times New Roman" w:cs="Times New Roman"/>
                <w:b/>
                <w:bCs/>
                <w:sz w:val="22"/>
                <w:szCs w:val="22"/>
              </w:rPr>
              <w:t>i</w:t>
            </w:r>
            <w:proofErr w:type="spellEnd"/>
            <w:r w:rsidRPr="00156FAC">
              <w:rPr>
                <w:rFonts w:ascii="Times New Roman" w:eastAsia="Times New Roman" w:hAnsi="Times New Roman" w:cs="Times New Roman"/>
                <w:b/>
                <w:bCs/>
                <w:sz w:val="22"/>
                <w:szCs w:val="22"/>
              </w:rPr>
              <w:t>)</w:t>
            </w:r>
          </w:p>
        </w:tc>
        <w:tc>
          <w:tcPr>
            <w:tcW w:w="5670" w:type="dxa"/>
            <w:tcBorders>
              <w:top w:val="single" w:sz="4" w:space="0" w:color="auto"/>
              <w:left w:val="single" w:sz="4" w:space="0" w:color="auto"/>
              <w:bottom w:val="nil"/>
              <w:right w:val="single" w:sz="4" w:space="0" w:color="auto"/>
            </w:tcBorders>
            <w:shd w:val="clear" w:color="auto" w:fill="auto"/>
            <w:noWrap/>
            <w:vAlign w:val="bottom"/>
            <w:hideMark/>
          </w:tcPr>
          <w:p w14:paraId="21BC0421" w14:textId="77777777" w:rsidR="00156FAC" w:rsidRPr="00156FAC" w:rsidRDefault="00156FAC" w:rsidP="00156FAC">
            <w:pPr>
              <w:spacing w:after="0"/>
              <w:rPr>
                <w:rFonts w:ascii="Times New Roman" w:eastAsia="Times New Roman" w:hAnsi="Times New Roman" w:cs="Times New Roman"/>
                <w:sz w:val="22"/>
                <w:szCs w:val="22"/>
              </w:rPr>
            </w:pPr>
          </w:p>
        </w:tc>
        <w:tc>
          <w:tcPr>
            <w:tcW w:w="717" w:type="dxa"/>
            <w:tcBorders>
              <w:top w:val="single" w:sz="4" w:space="0" w:color="auto"/>
              <w:left w:val="single" w:sz="4" w:space="0" w:color="auto"/>
              <w:bottom w:val="nil"/>
              <w:right w:val="single" w:sz="4" w:space="0" w:color="auto"/>
            </w:tcBorders>
            <w:shd w:val="clear" w:color="auto" w:fill="auto"/>
            <w:noWrap/>
            <w:vAlign w:val="bottom"/>
            <w:hideMark/>
          </w:tcPr>
          <w:p w14:paraId="591C9EEF" w14:textId="77777777" w:rsidR="00156FAC" w:rsidRPr="00156FAC" w:rsidRDefault="00156FAC" w:rsidP="00156FAC">
            <w:pPr>
              <w:spacing w:after="0"/>
              <w:rPr>
                <w:rFonts w:ascii="Times New Roman" w:eastAsia="Times New Roman" w:hAnsi="Times New Roman" w:cs="Times New Roman"/>
                <w:sz w:val="22"/>
                <w:szCs w:val="22"/>
              </w:rPr>
            </w:pPr>
            <w:r w:rsidRPr="00156FAC">
              <w:rPr>
                <w:rFonts w:ascii="Times New Roman" w:eastAsia="Times New Roman" w:hAnsi="Times New Roman" w:cs="Times New Roman"/>
                <w:sz w:val="22"/>
                <w:szCs w:val="22"/>
              </w:rPr>
              <w:t>Level</w:t>
            </w:r>
          </w:p>
        </w:tc>
      </w:tr>
      <w:tr w:rsidR="00156FAC" w:rsidRPr="00156FAC" w14:paraId="3B484BF1" w14:textId="77777777" w:rsidTr="00156FAC">
        <w:trPr>
          <w:trHeight w:val="280"/>
        </w:trPr>
        <w:tc>
          <w:tcPr>
            <w:tcW w:w="1483" w:type="dxa"/>
            <w:tcBorders>
              <w:top w:val="nil"/>
              <w:left w:val="single" w:sz="4" w:space="0" w:color="auto"/>
              <w:bottom w:val="nil"/>
              <w:right w:val="single" w:sz="4" w:space="0" w:color="auto"/>
            </w:tcBorders>
            <w:shd w:val="clear" w:color="auto" w:fill="auto"/>
            <w:noWrap/>
            <w:vAlign w:val="bottom"/>
            <w:hideMark/>
          </w:tcPr>
          <w:p w14:paraId="2EC0E058" w14:textId="77777777" w:rsidR="00156FAC" w:rsidRPr="00156FAC" w:rsidRDefault="00156FAC" w:rsidP="00156FAC">
            <w:pPr>
              <w:spacing w:after="0"/>
              <w:rPr>
                <w:rFonts w:ascii="Times New Roman" w:eastAsia="Times New Roman" w:hAnsi="Times New Roman" w:cs="Times New Roman"/>
                <w:b/>
                <w:bCs/>
                <w:sz w:val="22"/>
                <w:szCs w:val="22"/>
              </w:rPr>
            </w:pPr>
          </w:p>
        </w:tc>
        <w:tc>
          <w:tcPr>
            <w:tcW w:w="5670" w:type="dxa"/>
            <w:tcBorders>
              <w:top w:val="nil"/>
              <w:left w:val="single" w:sz="4" w:space="0" w:color="auto"/>
              <w:bottom w:val="nil"/>
              <w:right w:val="single" w:sz="4" w:space="0" w:color="auto"/>
            </w:tcBorders>
            <w:shd w:val="clear" w:color="auto" w:fill="auto"/>
            <w:noWrap/>
            <w:vAlign w:val="bottom"/>
            <w:hideMark/>
          </w:tcPr>
          <w:p w14:paraId="386B6C82" w14:textId="77777777" w:rsidR="00156FAC" w:rsidRPr="00156FAC" w:rsidRDefault="00156FAC" w:rsidP="00156FAC">
            <w:pPr>
              <w:spacing w:after="0"/>
              <w:rPr>
                <w:rFonts w:ascii="Times New Roman" w:eastAsia="Times New Roman" w:hAnsi="Times New Roman" w:cs="Times New Roman"/>
                <w:sz w:val="22"/>
                <w:szCs w:val="22"/>
              </w:rPr>
            </w:pPr>
          </w:p>
        </w:tc>
        <w:tc>
          <w:tcPr>
            <w:tcW w:w="717" w:type="dxa"/>
            <w:tcBorders>
              <w:top w:val="nil"/>
              <w:left w:val="single" w:sz="4" w:space="0" w:color="auto"/>
              <w:bottom w:val="nil"/>
              <w:right w:val="single" w:sz="4" w:space="0" w:color="auto"/>
            </w:tcBorders>
            <w:shd w:val="clear" w:color="auto" w:fill="auto"/>
            <w:noWrap/>
            <w:vAlign w:val="bottom"/>
            <w:hideMark/>
          </w:tcPr>
          <w:p w14:paraId="6DA05776" w14:textId="77777777" w:rsidR="00156FAC" w:rsidRPr="00156FAC" w:rsidRDefault="00156FAC" w:rsidP="00156FAC">
            <w:pPr>
              <w:spacing w:after="0"/>
              <w:rPr>
                <w:rFonts w:ascii="Times New Roman" w:eastAsia="Times New Roman" w:hAnsi="Times New Roman" w:cs="Times New Roman"/>
                <w:sz w:val="22"/>
                <w:szCs w:val="22"/>
              </w:rPr>
            </w:pPr>
          </w:p>
        </w:tc>
      </w:tr>
      <w:tr w:rsidR="00156FAC" w:rsidRPr="00156FAC" w14:paraId="51E64854" w14:textId="77777777" w:rsidTr="00156FAC">
        <w:trPr>
          <w:trHeight w:val="280"/>
        </w:trPr>
        <w:tc>
          <w:tcPr>
            <w:tcW w:w="1483" w:type="dxa"/>
            <w:tcBorders>
              <w:top w:val="nil"/>
              <w:left w:val="single" w:sz="4" w:space="0" w:color="auto"/>
              <w:bottom w:val="nil"/>
              <w:right w:val="single" w:sz="4" w:space="0" w:color="auto"/>
            </w:tcBorders>
            <w:shd w:val="clear" w:color="auto" w:fill="auto"/>
            <w:noWrap/>
            <w:vAlign w:val="bottom"/>
            <w:hideMark/>
          </w:tcPr>
          <w:p w14:paraId="5F9642FA" w14:textId="77777777" w:rsidR="00156FAC" w:rsidRPr="00156FAC" w:rsidRDefault="00156FAC" w:rsidP="00156FAC">
            <w:pPr>
              <w:spacing w:after="0"/>
              <w:rPr>
                <w:rFonts w:ascii="Verdana" w:eastAsia="Times New Roman" w:hAnsi="Verdana" w:cs="Times New Roman"/>
                <w:color w:val="FF0000"/>
                <w:sz w:val="20"/>
                <w:szCs w:val="20"/>
              </w:rPr>
            </w:pPr>
            <w:r w:rsidRPr="00156FAC">
              <w:rPr>
                <w:rFonts w:ascii="Verdana" w:eastAsia="Times New Roman" w:hAnsi="Verdana" w:cs="Times New Roman"/>
                <w:color w:val="FF0000"/>
                <w:sz w:val="20"/>
                <w:szCs w:val="20"/>
              </w:rPr>
              <w:t>L1</w:t>
            </w:r>
          </w:p>
        </w:tc>
        <w:tc>
          <w:tcPr>
            <w:tcW w:w="5670" w:type="dxa"/>
            <w:tcBorders>
              <w:top w:val="nil"/>
              <w:left w:val="single" w:sz="4" w:space="0" w:color="auto"/>
              <w:bottom w:val="nil"/>
              <w:right w:val="single" w:sz="4" w:space="0" w:color="auto"/>
            </w:tcBorders>
            <w:shd w:val="clear" w:color="auto" w:fill="auto"/>
            <w:noWrap/>
            <w:vAlign w:val="bottom"/>
            <w:hideMark/>
          </w:tcPr>
          <w:p w14:paraId="22945646" w14:textId="77777777" w:rsidR="00156FAC" w:rsidRPr="00156FAC" w:rsidRDefault="00156FAC" w:rsidP="00156FAC">
            <w:pPr>
              <w:spacing w:after="0"/>
              <w:rPr>
                <w:rFonts w:ascii="Verdana" w:eastAsia="Times New Roman" w:hAnsi="Verdana" w:cs="Times New Roman"/>
                <w:color w:val="FF0000"/>
                <w:sz w:val="20"/>
                <w:szCs w:val="20"/>
              </w:rPr>
            </w:pPr>
            <w:r w:rsidRPr="00156FAC">
              <w:rPr>
                <w:rFonts w:ascii="Verdana" w:eastAsia="Times New Roman" w:hAnsi="Verdana" w:cs="Times New Roman"/>
                <w:color w:val="FF0000"/>
                <w:sz w:val="20"/>
                <w:szCs w:val="20"/>
              </w:rPr>
              <w:t>Top level CMS management</w:t>
            </w:r>
          </w:p>
        </w:tc>
        <w:tc>
          <w:tcPr>
            <w:tcW w:w="717" w:type="dxa"/>
            <w:tcBorders>
              <w:top w:val="nil"/>
              <w:left w:val="single" w:sz="4" w:space="0" w:color="auto"/>
              <w:bottom w:val="nil"/>
              <w:right w:val="single" w:sz="4" w:space="0" w:color="auto"/>
            </w:tcBorders>
            <w:shd w:val="clear" w:color="auto" w:fill="auto"/>
            <w:noWrap/>
            <w:vAlign w:val="bottom"/>
            <w:hideMark/>
          </w:tcPr>
          <w:p w14:paraId="3D1B0D9E" w14:textId="77777777" w:rsidR="00156FAC" w:rsidRPr="00156FAC" w:rsidRDefault="00156FAC" w:rsidP="00156FAC">
            <w:pPr>
              <w:spacing w:after="0"/>
              <w:rPr>
                <w:rFonts w:ascii="Times New Roman" w:eastAsia="Times New Roman" w:hAnsi="Times New Roman" w:cs="Times New Roman"/>
                <w:sz w:val="22"/>
                <w:szCs w:val="22"/>
              </w:rPr>
            </w:pPr>
          </w:p>
        </w:tc>
      </w:tr>
      <w:tr w:rsidR="00156FAC" w:rsidRPr="00156FAC" w14:paraId="784C735F" w14:textId="77777777" w:rsidTr="00156FAC">
        <w:trPr>
          <w:trHeight w:val="280"/>
        </w:trPr>
        <w:tc>
          <w:tcPr>
            <w:tcW w:w="1483" w:type="dxa"/>
            <w:tcBorders>
              <w:top w:val="nil"/>
              <w:left w:val="single" w:sz="4" w:space="0" w:color="auto"/>
              <w:bottom w:val="nil"/>
              <w:right w:val="single" w:sz="4" w:space="0" w:color="auto"/>
            </w:tcBorders>
            <w:shd w:val="clear" w:color="auto" w:fill="auto"/>
            <w:noWrap/>
            <w:vAlign w:val="bottom"/>
            <w:hideMark/>
          </w:tcPr>
          <w:p w14:paraId="0A71A7DE" w14:textId="77777777" w:rsidR="00156FAC" w:rsidRPr="00156FAC" w:rsidRDefault="00156FAC" w:rsidP="00156FAC">
            <w:pPr>
              <w:spacing w:after="0"/>
              <w:rPr>
                <w:rFonts w:ascii="Verdana" w:eastAsia="Times New Roman" w:hAnsi="Verdana" w:cs="Times New Roman"/>
                <w:color w:val="FF0000"/>
                <w:sz w:val="20"/>
                <w:szCs w:val="20"/>
              </w:rPr>
            </w:pPr>
            <w:r w:rsidRPr="00156FAC">
              <w:rPr>
                <w:rFonts w:ascii="Verdana" w:eastAsia="Times New Roman" w:hAnsi="Verdana" w:cs="Times New Roman"/>
                <w:color w:val="FF0000"/>
                <w:sz w:val="20"/>
                <w:szCs w:val="20"/>
              </w:rPr>
              <w:t>L2</w:t>
            </w:r>
          </w:p>
        </w:tc>
        <w:tc>
          <w:tcPr>
            <w:tcW w:w="5670" w:type="dxa"/>
            <w:tcBorders>
              <w:top w:val="nil"/>
              <w:left w:val="single" w:sz="4" w:space="0" w:color="auto"/>
              <w:bottom w:val="nil"/>
              <w:right w:val="single" w:sz="4" w:space="0" w:color="auto"/>
            </w:tcBorders>
            <w:shd w:val="clear" w:color="auto" w:fill="auto"/>
            <w:noWrap/>
            <w:vAlign w:val="bottom"/>
            <w:hideMark/>
          </w:tcPr>
          <w:p w14:paraId="4541B1F6" w14:textId="77777777" w:rsidR="00156FAC" w:rsidRPr="00156FAC" w:rsidRDefault="00156FAC" w:rsidP="00156FAC">
            <w:pPr>
              <w:spacing w:after="0"/>
              <w:rPr>
                <w:rFonts w:ascii="Verdana" w:eastAsia="Times New Roman" w:hAnsi="Verdana" w:cs="Times New Roman"/>
                <w:color w:val="FF0000"/>
                <w:sz w:val="20"/>
                <w:szCs w:val="20"/>
              </w:rPr>
            </w:pPr>
            <w:r w:rsidRPr="00156FAC">
              <w:rPr>
                <w:rFonts w:ascii="Verdana" w:eastAsia="Times New Roman" w:hAnsi="Verdana" w:cs="Times New Roman"/>
                <w:color w:val="FF0000"/>
                <w:sz w:val="20"/>
                <w:szCs w:val="20"/>
              </w:rPr>
              <w:t>Task management</w:t>
            </w:r>
          </w:p>
        </w:tc>
        <w:tc>
          <w:tcPr>
            <w:tcW w:w="717" w:type="dxa"/>
            <w:tcBorders>
              <w:top w:val="nil"/>
              <w:left w:val="single" w:sz="4" w:space="0" w:color="auto"/>
              <w:bottom w:val="nil"/>
              <w:right w:val="single" w:sz="4" w:space="0" w:color="auto"/>
            </w:tcBorders>
            <w:shd w:val="clear" w:color="auto" w:fill="auto"/>
            <w:noWrap/>
            <w:vAlign w:val="bottom"/>
            <w:hideMark/>
          </w:tcPr>
          <w:p w14:paraId="4B22275A" w14:textId="77777777" w:rsidR="00156FAC" w:rsidRPr="00156FAC" w:rsidRDefault="00156FAC" w:rsidP="00156FAC">
            <w:pPr>
              <w:spacing w:after="0"/>
              <w:rPr>
                <w:rFonts w:ascii="Times New Roman" w:eastAsia="Times New Roman" w:hAnsi="Times New Roman" w:cs="Times New Roman"/>
                <w:sz w:val="22"/>
                <w:szCs w:val="22"/>
              </w:rPr>
            </w:pPr>
          </w:p>
        </w:tc>
      </w:tr>
      <w:tr w:rsidR="00156FAC" w:rsidRPr="00156FAC" w14:paraId="4F3B67B9" w14:textId="77777777" w:rsidTr="00156FAC">
        <w:trPr>
          <w:trHeight w:val="280"/>
        </w:trPr>
        <w:tc>
          <w:tcPr>
            <w:tcW w:w="1483" w:type="dxa"/>
            <w:tcBorders>
              <w:top w:val="nil"/>
              <w:left w:val="single" w:sz="4" w:space="0" w:color="auto"/>
              <w:bottom w:val="nil"/>
              <w:right w:val="single" w:sz="4" w:space="0" w:color="auto"/>
            </w:tcBorders>
            <w:shd w:val="clear" w:color="auto" w:fill="auto"/>
            <w:noWrap/>
            <w:vAlign w:val="bottom"/>
            <w:hideMark/>
          </w:tcPr>
          <w:p w14:paraId="27F2EEE3" w14:textId="77777777" w:rsidR="00156FAC" w:rsidRPr="00156FAC" w:rsidRDefault="00156FAC" w:rsidP="00156FAC">
            <w:pPr>
              <w:spacing w:after="0"/>
              <w:rPr>
                <w:rFonts w:ascii="Verdana" w:eastAsia="Times New Roman" w:hAnsi="Verdana" w:cs="Times New Roman"/>
                <w:color w:val="FF0000"/>
                <w:sz w:val="20"/>
                <w:szCs w:val="20"/>
              </w:rPr>
            </w:pPr>
            <w:r w:rsidRPr="00156FAC">
              <w:rPr>
                <w:rFonts w:ascii="Verdana" w:eastAsia="Times New Roman" w:hAnsi="Verdana" w:cs="Times New Roman"/>
                <w:color w:val="FF0000"/>
                <w:sz w:val="20"/>
                <w:szCs w:val="20"/>
              </w:rPr>
              <w:t>L3</w:t>
            </w:r>
          </w:p>
        </w:tc>
        <w:tc>
          <w:tcPr>
            <w:tcW w:w="5670" w:type="dxa"/>
            <w:tcBorders>
              <w:top w:val="nil"/>
              <w:left w:val="single" w:sz="4" w:space="0" w:color="auto"/>
              <w:bottom w:val="nil"/>
              <w:right w:val="single" w:sz="4" w:space="0" w:color="auto"/>
            </w:tcBorders>
            <w:shd w:val="clear" w:color="auto" w:fill="auto"/>
            <w:noWrap/>
            <w:vAlign w:val="bottom"/>
            <w:hideMark/>
          </w:tcPr>
          <w:p w14:paraId="2DC3392E" w14:textId="77777777" w:rsidR="00156FAC" w:rsidRPr="00156FAC" w:rsidRDefault="00156FAC" w:rsidP="00156FAC">
            <w:pPr>
              <w:spacing w:after="0"/>
              <w:rPr>
                <w:rFonts w:ascii="Verdana" w:eastAsia="Times New Roman" w:hAnsi="Verdana" w:cs="Times New Roman"/>
                <w:color w:val="FF0000"/>
                <w:sz w:val="20"/>
                <w:szCs w:val="20"/>
              </w:rPr>
            </w:pPr>
            <w:r w:rsidRPr="00156FAC">
              <w:rPr>
                <w:rFonts w:ascii="Verdana" w:eastAsia="Times New Roman" w:hAnsi="Verdana" w:cs="Times New Roman"/>
                <w:color w:val="FF0000"/>
                <w:sz w:val="20"/>
                <w:szCs w:val="20"/>
              </w:rPr>
              <w:t>Sub-task management</w:t>
            </w:r>
          </w:p>
        </w:tc>
        <w:tc>
          <w:tcPr>
            <w:tcW w:w="717" w:type="dxa"/>
            <w:tcBorders>
              <w:top w:val="nil"/>
              <w:left w:val="single" w:sz="4" w:space="0" w:color="auto"/>
              <w:bottom w:val="nil"/>
              <w:right w:val="single" w:sz="4" w:space="0" w:color="auto"/>
            </w:tcBorders>
            <w:shd w:val="clear" w:color="auto" w:fill="auto"/>
            <w:noWrap/>
            <w:vAlign w:val="bottom"/>
            <w:hideMark/>
          </w:tcPr>
          <w:p w14:paraId="760F97B1" w14:textId="77777777" w:rsidR="00156FAC" w:rsidRPr="00156FAC" w:rsidRDefault="00156FAC" w:rsidP="00156FAC">
            <w:pPr>
              <w:spacing w:after="0"/>
              <w:rPr>
                <w:rFonts w:ascii="Times New Roman" w:eastAsia="Times New Roman" w:hAnsi="Times New Roman" w:cs="Times New Roman"/>
                <w:sz w:val="22"/>
                <w:szCs w:val="22"/>
              </w:rPr>
            </w:pPr>
          </w:p>
        </w:tc>
      </w:tr>
      <w:tr w:rsidR="00156FAC" w:rsidRPr="00156FAC" w14:paraId="60075567" w14:textId="77777777" w:rsidTr="00156FAC">
        <w:trPr>
          <w:trHeight w:val="280"/>
        </w:trPr>
        <w:tc>
          <w:tcPr>
            <w:tcW w:w="1483" w:type="dxa"/>
            <w:tcBorders>
              <w:top w:val="nil"/>
              <w:left w:val="single" w:sz="4" w:space="0" w:color="auto"/>
              <w:bottom w:val="nil"/>
              <w:right w:val="single" w:sz="4" w:space="0" w:color="auto"/>
            </w:tcBorders>
            <w:shd w:val="clear" w:color="auto" w:fill="auto"/>
            <w:noWrap/>
            <w:vAlign w:val="bottom"/>
            <w:hideMark/>
          </w:tcPr>
          <w:p w14:paraId="3506F8F4" w14:textId="77777777" w:rsidR="00156FAC" w:rsidRPr="00156FAC" w:rsidRDefault="00156FAC" w:rsidP="00156FAC">
            <w:pPr>
              <w:spacing w:after="0"/>
              <w:rPr>
                <w:rFonts w:ascii="Times New Roman" w:eastAsia="Times New Roman" w:hAnsi="Times New Roman" w:cs="Times New Roman"/>
                <w:sz w:val="22"/>
                <w:szCs w:val="22"/>
              </w:rPr>
            </w:pPr>
          </w:p>
        </w:tc>
        <w:tc>
          <w:tcPr>
            <w:tcW w:w="5670" w:type="dxa"/>
            <w:tcBorders>
              <w:top w:val="nil"/>
              <w:left w:val="single" w:sz="4" w:space="0" w:color="auto"/>
              <w:bottom w:val="nil"/>
              <w:right w:val="single" w:sz="4" w:space="0" w:color="auto"/>
            </w:tcBorders>
            <w:shd w:val="clear" w:color="auto" w:fill="auto"/>
            <w:noWrap/>
            <w:vAlign w:val="bottom"/>
            <w:hideMark/>
          </w:tcPr>
          <w:p w14:paraId="67896CD3" w14:textId="77777777" w:rsidR="00156FAC" w:rsidRPr="00156FAC" w:rsidRDefault="00156FAC" w:rsidP="00156FAC">
            <w:pPr>
              <w:spacing w:after="0"/>
              <w:rPr>
                <w:rFonts w:ascii="Times New Roman" w:eastAsia="Times New Roman" w:hAnsi="Times New Roman" w:cs="Times New Roman"/>
                <w:b/>
                <w:bCs/>
                <w:sz w:val="22"/>
                <w:szCs w:val="22"/>
              </w:rPr>
            </w:pPr>
            <w:r w:rsidRPr="00156FAC">
              <w:rPr>
                <w:rFonts w:ascii="Times New Roman" w:eastAsia="Times New Roman" w:hAnsi="Times New Roman" w:cs="Times New Roman"/>
                <w:b/>
                <w:bCs/>
                <w:sz w:val="22"/>
                <w:szCs w:val="22"/>
              </w:rPr>
              <w:t>a) Experiment-wide responsibilities</w:t>
            </w:r>
          </w:p>
        </w:tc>
        <w:tc>
          <w:tcPr>
            <w:tcW w:w="717" w:type="dxa"/>
            <w:tcBorders>
              <w:top w:val="nil"/>
              <w:left w:val="single" w:sz="4" w:space="0" w:color="auto"/>
              <w:bottom w:val="nil"/>
              <w:right w:val="single" w:sz="4" w:space="0" w:color="auto"/>
            </w:tcBorders>
            <w:shd w:val="clear" w:color="auto" w:fill="auto"/>
            <w:noWrap/>
            <w:vAlign w:val="bottom"/>
            <w:hideMark/>
          </w:tcPr>
          <w:p w14:paraId="6968440B" w14:textId="77777777" w:rsidR="00156FAC" w:rsidRPr="00156FAC" w:rsidRDefault="00156FAC" w:rsidP="00156FAC">
            <w:pPr>
              <w:spacing w:after="0"/>
              <w:rPr>
                <w:rFonts w:ascii="Times New Roman" w:eastAsia="Times New Roman" w:hAnsi="Times New Roman" w:cs="Times New Roman"/>
                <w:sz w:val="22"/>
                <w:szCs w:val="22"/>
              </w:rPr>
            </w:pPr>
          </w:p>
        </w:tc>
      </w:tr>
      <w:tr w:rsidR="00156FAC" w:rsidRPr="00156FAC" w14:paraId="52813035"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1464307B" w14:textId="77777777" w:rsidR="00156FAC" w:rsidRPr="00156FAC" w:rsidRDefault="00156FAC" w:rsidP="00156FAC">
            <w:pPr>
              <w:spacing w:after="0"/>
              <w:rPr>
                <w:rFonts w:ascii="Times New Roman" w:eastAsia="Times New Roman" w:hAnsi="Times New Roman" w:cs="Times New Roman"/>
                <w:b/>
                <w:bCs/>
                <w:sz w:val="20"/>
                <w:szCs w:val="20"/>
              </w:rPr>
            </w:pPr>
            <w:r w:rsidRPr="00156FAC">
              <w:rPr>
                <w:rFonts w:ascii="Times New Roman" w:eastAsia="Times New Roman" w:hAnsi="Times New Roman" w:cs="Times New Roman"/>
                <w:b/>
                <w:bCs/>
                <w:sz w:val="20"/>
                <w:szCs w:val="20"/>
              </w:rPr>
              <w:t>Brunel</w:t>
            </w:r>
          </w:p>
        </w:tc>
        <w:tc>
          <w:tcPr>
            <w:tcW w:w="5670" w:type="dxa"/>
            <w:tcBorders>
              <w:top w:val="nil"/>
              <w:left w:val="single" w:sz="4" w:space="0" w:color="auto"/>
              <w:bottom w:val="nil"/>
              <w:right w:val="single" w:sz="4" w:space="0" w:color="auto"/>
            </w:tcBorders>
            <w:shd w:val="clear" w:color="auto" w:fill="auto"/>
            <w:noWrap/>
            <w:vAlign w:val="bottom"/>
            <w:hideMark/>
          </w:tcPr>
          <w:p w14:paraId="62A48CEA" w14:textId="77777777" w:rsidR="00156FAC" w:rsidRPr="00156FAC" w:rsidRDefault="00156FAC" w:rsidP="00156FAC">
            <w:pPr>
              <w:spacing w:after="0"/>
              <w:rPr>
                <w:rFonts w:ascii="Times New Roman" w:eastAsia="Times New Roman" w:hAnsi="Times New Roman" w:cs="Times New Roman"/>
                <w:b/>
                <w:bCs/>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7B499FB7"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7DFC00F7"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41233D7E"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J Cole</w:t>
            </w:r>
          </w:p>
        </w:tc>
        <w:tc>
          <w:tcPr>
            <w:tcW w:w="5670" w:type="dxa"/>
            <w:tcBorders>
              <w:top w:val="nil"/>
              <w:left w:val="single" w:sz="4" w:space="0" w:color="auto"/>
              <w:bottom w:val="nil"/>
              <w:right w:val="single" w:sz="4" w:space="0" w:color="auto"/>
            </w:tcBorders>
            <w:shd w:val="clear" w:color="auto" w:fill="auto"/>
            <w:noWrap/>
            <w:vAlign w:val="bottom"/>
            <w:hideMark/>
          </w:tcPr>
          <w:p w14:paraId="7FFAD540"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Tracker Publication Board Chair</w:t>
            </w:r>
          </w:p>
        </w:tc>
        <w:tc>
          <w:tcPr>
            <w:tcW w:w="717" w:type="dxa"/>
            <w:tcBorders>
              <w:top w:val="nil"/>
              <w:left w:val="single" w:sz="4" w:space="0" w:color="auto"/>
              <w:bottom w:val="nil"/>
              <w:right w:val="single" w:sz="4" w:space="0" w:color="auto"/>
            </w:tcBorders>
            <w:shd w:val="clear" w:color="auto" w:fill="auto"/>
            <w:noWrap/>
            <w:vAlign w:val="bottom"/>
            <w:hideMark/>
          </w:tcPr>
          <w:p w14:paraId="605A29A1"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154B0EF8"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47BE111F"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61A3A2CF"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Secretary to CMS Tracker Institution Board</w:t>
            </w:r>
          </w:p>
        </w:tc>
        <w:tc>
          <w:tcPr>
            <w:tcW w:w="717" w:type="dxa"/>
            <w:tcBorders>
              <w:top w:val="nil"/>
              <w:left w:val="single" w:sz="4" w:space="0" w:color="auto"/>
              <w:bottom w:val="nil"/>
              <w:right w:val="single" w:sz="4" w:space="0" w:color="auto"/>
            </w:tcBorders>
            <w:shd w:val="clear" w:color="auto" w:fill="auto"/>
            <w:noWrap/>
            <w:vAlign w:val="bottom"/>
            <w:hideMark/>
          </w:tcPr>
          <w:p w14:paraId="54B094D8"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79CA557E"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7B89F42A"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7668F8AC"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39E74EE4"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433DC0F9"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623ECCB7"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P Hobson</w:t>
            </w:r>
          </w:p>
        </w:tc>
        <w:tc>
          <w:tcPr>
            <w:tcW w:w="5670" w:type="dxa"/>
            <w:tcBorders>
              <w:top w:val="nil"/>
              <w:left w:val="single" w:sz="4" w:space="0" w:color="auto"/>
              <w:bottom w:val="nil"/>
              <w:right w:val="single" w:sz="4" w:space="0" w:color="auto"/>
            </w:tcBorders>
            <w:shd w:val="clear" w:color="auto" w:fill="auto"/>
            <w:noWrap/>
            <w:vAlign w:val="bottom"/>
            <w:hideMark/>
          </w:tcPr>
          <w:p w14:paraId="1E4071C2"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Top Physics Editorial Board Member</w:t>
            </w:r>
          </w:p>
        </w:tc>
        <w:tc>
          <w:tcPr>
            <w:tcW w:w="717" w:type="dxa"/>
            <w:tcBorders>
              <w:top w:val="nil"/>
              <w:left w:val="single" w:sz="4" w:space="0" w:color="auto"/>
              <w:bottom w:val="nil"/>
              <w:right w:val="single" w:sz="4" w:space="0" w:color="auto"/>
            </w:tcBorders>
            <w:shd w:val="clear" w:color="auto" w:fill="auto"/>
            <w:noWrap/>
            <w:vAlign w:val="bottom"/>
            <w:hideMark/>
          </w:tcPr>
          <w:p w14:paraId="50CF7EBC"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7EC0B458"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3320DFA8"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0F3109A6"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Collaboration Board Member</w:t>
            </w:r>
          </w:p>
        </w:tc>
        <w:tc>
          <w:tcPr>
            <w:tcW w:w="717" w:type="dxa"/>
            <w:tcBorders>
              <w:top w:val="nil"/>
              <w:left w:val="single" w:sz="4" w:space="0" w:color="auto"/>
              <w:bottom w:val="nil"/>
              <w:right w:val="single" w:sz="4" w:space="0" w:color="auto"/>
            </w:tcBorders>
            <w:shd w:val="clear" w:color="auto" w:fill="auto"/>
            <w:noWrap/>
            <w:vAlign w:val="bottom"/>
            <w:hideMark/>
          </w:tcPr>
          <w:p w14:paraId="652CB24A"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L1</w:t>
            </w:r>
          </w:p>
        </w:tc>
      </w:tr>
      <w:tr w:rsidR="00156FAC" w:rsidRPr="00156FAC" w14:paraId="02AC3006"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41D390A6"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6C6113BB"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ECAL Institution Board Member</w:t>
            </w:r>
          </w:p>
        </w:tc>
        <w:tc>
          <w:tcPr>
            <w:tcW w:w="717" w:type="dxa"/>
            <w:tcBorders>
              <w:top w:val="nil"/>
              <w:left w:val="single" w:sz="4" w:space="0" w:color="auto"/>
              <w:bottom w:val="nil"/>
              <w:right w:val="single" w:sz="4" w:space="0" w:color="auto"/>
            </w:tcBorders>
            <w:shd w:val="clear" w:color="auto" w:fill="auto"/>
            <w:noWrap/>
            <w:vAlign w:val="bottom"/>
            <w:hideMark/>
          </w:tcPr>
          <w:p w14:paraId="0052C715"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164981B8"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22BAFCEC" w14:textId="77777777" w:rsidR="00156FAC" w:rsidRPr="00156FAC" w:rsidRDefault="00156FAC" w:rsidP="00156FAC">
            <w:pPr>
              <w:spacing w:after="0"/>
              <w:rPr>
                <w:rFonts w:ascii="Times New Roman" w:eastAsia="Times New Roman" w:hAnsi="Times New Roman" w:cs="Times New Roman"/>
                <w:b/>
                <w:bCs/>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7A85A80F" w14:textId="77777777" w:rsidR="00156FAC" w:rsidRPr="00156FAC" w:rsidRDefault="00156FAC" w:rsidP="00156FAC">
            <w:pPr>
              <w:spacing w:after="0"/>
              <w:rPr>
                <w:rFonts w:ascii="Times New Roman" w:eastAsia="Times New Roman" w:hAnsi="Times New Roman" w:cs="Times New Roman"/>
                <w:b/>
                <w:bCs/>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6BBEEAFB"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114F6FF3"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1D021DED"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A Khan</w:t>
            </w:r>
          </w:p>
        </w:tc>
        <w:tc>
          <w:tcPr>
            <w:tcW w:w="5670" w:type="dxa"/>
            <w:tcBorders>
              <w:top w:val="nil"/>
              <w:left w:val="single" w:sz="4" w:space="0" w:color="auto"/>
              <w:bottom w:val="nil"/>
              <w:right w:val="single" w:sz="4" w:space="0" w:color="auto"/>
            </w:tcBorders>
            <w:shd w:val="clear" w:color="auto" w:fill="auto"/>
            <w:noWrap/>
            <w:vAlign w:val="bottom"/>
            <w:hideMark/>
          </w:tcPr>
          <w:p w14:paraId="7542DBC5"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Offline and Computing: user support group coordinator</w:t>
            </w:r>
          </w:p>
        </w:tc>
        <w:tc>
          <w:tcPr>
            <w:tcW w:w="717" w:type="dxa"/>
            <w:tcBorders>
              <w:top w:val="nil"/>
              <w:left w:val="single" w:sz="4" w:space="0" w:color="auto"/>
              <w:bottom w:val="nil"/>
              <w:right w:val="single" w:sz="4" w:space="0" w:color="auto"/>
            </w:tcBorders>
            <w:shd w:val="clear" w:color="auto" w:fill="auto"/>
            <w:noWrap/>
            <w:vAlign w:val="bottom"/>
            <w:hideMark/>
          </w:tcPr>
          <w:p w14:paraId="19EF6DAE"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466B81A4"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2F86788C"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54CB6056"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1DF7CC76"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290C0C5C"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255941F4"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 Teodorescu</w:t>
            </w:r>
          </w:p>
        </w:tc>
        <w:tc>
          <w:tcPr>
            <w:tcW w:w="5670" w:type="dxa"/>
            <w:tcBorders>
              <w:top w:val="nil"/>
              <w:left w:val="single" w:sz="4" w:space="0" w:color="auto"/>
              <w:bottom w:val="nil"/>
              <w:right w:val="single" w:sz="4" w:space="0" w:color="auto"/>
            </w:tcBorders>
            <w:shd w:val="clear" w:color="auto" w:fill="auto"/>
            <w:noWrap/>
            <w:vAlign w:val="bottom"/>
            <w:hideMark/>
          </w:tcPr>
          <w:p w14:paraId="6C43EB28"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Member CMS Statistics Committee</w:t>
            </w:r>
          </w:p>
        </w:tc>
        <w:tc>
          <w:tcPr>
            <w:tcW w:w="717" w:type="dxa"/>
            <w:tcBorders>
              <w:top w:val="nil"/>
              <w:left w:val="single" w:sz="4" w:space="0" w:color="auto"/>
              <w:bottom w:val="nil"/>
              <w:right w:val="single" w:sz="4" w:space="0" w:color="auto"/>
            </w:tcBorders>
            <w:shd w:val="clear" w:color="auto" w:fill="auto"/>
            <w:noWrap/>
            <w:vAlign w:val="bottom"/>
            <w:hideMark/>
          </w:tcPr>
          <w:p w14:paraId="3890E0C7"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70BDD112"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4E42E5A3"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77706B3D"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552E6AA3"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1843A629"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3D0A81EC" w14:textId="77777777" w:rsidR="00156FAC" w:rsidRPr="00156FAC" w:rsidRDefault="00156FAC" w:rsidP="00156FAC">
            <w:pPr>
              <w:spacing w:after="0"/>
              <w:rPr>
                <w:rFonts w:ascii="Times New Roman" w:eastAsia="Times New Roman" w:hAnsi="Times New Roman" w:cs="Times New Roman"/>
                <w:b/>
                <w:bCs/>
                <w:sz w:val="20"/>
                <w:szCs w:val="20"/>
              </w:rPr>
            </w:pPr>
            <w:r w:rsidRPr="00156FAC">
              <w:rPr>
                <w:rFonts w:ascii="Times New Roman" w:eastAsia="Times New Roman" w:hAnsi="Times New Roman" w:cs="Times New Roman"/>
                <w:b/>
                <w:bCs/>
                <w:sz w:val="20"/>
                <w:szCs w:val="20"/>
              </w:rPr>
              <w:t>Bristol</w:t>
            </w:r>
          </w:p>
        </w:tc>
        <w:tc>
          <w:tcPr>
            <w:tcW w:w="5670" w:type="dxa"/>
            <w:tcBorders>
              <w:top w:val="nil"/>
              <w:left w:val="single" w:sz="4" w:space="0" w:color="auto"/>
              <w:bottom w:val="nil"/>
              <w:right w:val="single" w:sz="4" w:space="0" w:color="auto"/>
            </w:tcBorders>
            <w:shd w:val="clear" w:color="auto" w:fill="auto"/>
            <w:noWrap/>
            <w:vAlign w:val="bottom"/>
            <w:hideMark/>
          </w:tcPr>
          <w:p w14:paraId="5727013E" w14:textId="77777777" w:rsidR="00156FAC" w:rsidRPr="00156FAC" w:rsidRDefault="00156FAC" w:rsidP="00156FAC">
            <w:pPr>
              <w:spacing w:after="0"/>
              <w:rPr>
                <w:rFonts w:ascii="Times New Roman" w:eastAsia="Times New Roman" w:hAnsi="Times New Roman" w:cs="Times New Roman"/>
                <w:b/>
                <w:bCs/>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336A8380"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1D762509"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764A3281"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J Brooke</w:t>
            </w:r>
          </w:p>
        </w:tc>
        <w:tc>
          <w:tcPr>
            <w:tcW w:w="5670" w:type="dxa"/>
            <w:tcBorders>
              <w:top w:val="nil"/>
              <w:left w:val="single" w:sz="4" w:space="0" w:color="auto"/>
              <w:bottom w:val="nil"/>
              <w:right w:val="single" w:sz="4" w:space="0" w:color="auto"/>
            </w:tcBorders>
            <w:shd w:val="clear" w:color="auto" w:fill="auto"/>
            <w:noWrap/>
            <w:vAlign w:val="bottom"/>
            <w:hideMark/>
          </w:tcPr>
          <w:p w14:paraId="1780873C"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Level-1 Trigger: Trigger Detector Performance Group convener</w:t>
            </w:r>
          </w:p>
        </w:tc>
        <w:tc>
          <w:tcPr>
            <w:tcW w:w="717" w:type="dxa"/>
            <w:tcBorders>
              <w:top w:val="nil"/>
              <w:left w:val="single" w:sz="4" w:space="0" w:color="auto"/>
              <w:bottom w:val="nil"/>
              <w:right w:val="single" w:sz="4" w:space="0" w:color="auto"/>
            </w:tcBorders>
            <w:shd w:val="clear" w:color="auto" w:fill="auto"/>
            <w:noWrap/>
            <w:vAlign w:val="bottom"/>
            <w:hideMark/>
          </w:tcPr>
          <w:p w14:paraId="3E31F44E"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3C8D9DD2"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587795CC"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7EBA908B"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Physics: Exotica Physics Analysis Group, Long-Lived Particles subgroup convenor</w:t>
            </w:r>
          </w:p>
        </w:tc>
        <w:tc>
          <w:tcPr>
            <w:tcW w:w="717" w:type="dxa"/>
            <w:tcBorders>
              <w:top w:val="nil"/>
              <w:left w:val="single" w:sz="4" w:space="0" w:color="auto"/>
              <w:bottom w:val="nil"/>
              <w:right w:val="single" w:sz="4" w:space="0" w:color="auto"/>
            </w:tcBorders>
            <w:shd w:val="clear" w:color="auto" w:fill="auto"/>
            <w:noWrap/>
            <w:vAlign w:val="bottom"/>
            <w:hideMark/>
          </w:tcPr>
          <w:p w14:paraId="25DD7992"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7D5A07DA"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1FEC5B94"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498211E2"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58F9AC76"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1166AEF1"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01EC2000"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J Goldstein</w:t>
            </w:r>
          </w:p>
        </w:tc>
        <w:tc>
          <w:tcPr>
            <w:tcW w:w="5670" w:type="dxa"/>
            <w:tcBorders>
              <w:top w:val="nil"/>
              <w:left w:val="single" w:sz="4" w:space="0" w:color="auto"/>
              <w:bottom w:val="nil"/>
              <w:right w:val="single" w:sz="4" w:space="0" w:color="auto"/>
            </w:tcBorders>
            <w:shd w:val="clear" w:color="auto" w:fill="auto"/>
            <w:noWrap/>
            <w:vAlign w:val="bottom"/>
            <w:hideMark/>
          </w:tcPr>
          <w:p w14:paraId="5A943F65"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Collaboration Board Member</w:t>
            </w:r>
          </w:p>
        </w:tc>
        <w:tc>
          <w:tcPr>
            <w:tcW w:w="717" w:type="dxa"/>
            <w:tcBorders>
              <w:top w:val="nil"/>
              <w:left w:val="single" w:sz="4" w:space="0" w:color="auto"/>
              <w:bottom w:val="nil"/>
              <w:right w:val="single" w:sz="4" w:space="0" w:color="auto"/>
            </w:tcBorders>
            <w:shd w:val="clear" w:color="auto" w:fill="auto"/>
            <w:noWrap/>
            <w:vAlign w:val="bottom"/>
            <w:hideMark/>
          </w:tcPr>
          <w:p w14:paraId="2E3A65F8"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6FCE11C0"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2B5210D8"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065CF847"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1316E14D"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07AADD94"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4F8BD73A"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G Heath</w:t>
            </w:r>
          </w:p>
        </w:tc>
        <w:tc>
          <w:tcPr>
            <w:tcW w:w="5670" w:type="dxa"/>
            <w:tcBorders>
              <w:top w:val="nil"/>
              <w:left w:val="single" w:sz="4" w:space="0" w:color="auto"/>
              <w:bottom w:val="nil"/>
              <w:right w:val="single" w:sz="4" w:space="0" w:color="auto"/>
            </w:tcBorders>
            <w:shd w:val="clear" w:color="auto" w:fill="auto"/>
            <w:noWrap/>
            <w:vAlign w:val="bottom"/>
            <w:hideMark/>
          </w:tcPr>
          <w:p w14:paraId="42CCBC3D"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Member CMS thesis prize committee</w:t>
            </w:r>
          </w:p>
        </w:tc>
        <w:tc>
          <w:tcPr>
            <w:tcW w:w="717" w:type="dxa"/>
            <w:tcBorders>
              <w:top w:val="nil"/>
              <w:left w:val="single" w:sz="4" w:space="0" w:color="auto"/>
              <w:bottom w:val="nil"/>
              <w:right w:val="single" w:sz="4" w:space="0" w:color="auto"/>
            </w:tcBorders>
            <w:shd w:val="clear" w:color="auto" w:fill="auto"/>
            <w:noWrap/>
            <w:vAlign w:val="bottom"/>
            <w:hideMark/>
          </w:tcPr>
          <w:p w14:paraId="12CE193C"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5DE033B6"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410334E2"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33108BD5"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Collaboration Board Member</w:t>
            </w:r>
          </w:p>
        </w:tc>
        <w:tc>
          <w:tcPr>
            <w:tcW w:w="717" w:type="dxa"/>
            <w:tcBorders>
              <w:top w:val="nil"/>
              <w:left w:val="single" w:sz="4" w:space="0" w:color="auto"/>
              <w:bottom w:val="nil"/>
              <w:right w:val="single" w:sz="4" w:space="0" w:color="auto"/>
            </w:tcBorders>
            <w:shd w:val="clear" w:color="auto" w:fill="auto"/>
            <w:noWrap/>
            <w:vAlign w:val="bottom"/>
            <w:hideMark/>
          </w:tcPr>
          <w:p w14:paraId="21ABFB9B"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L1</w:t>
            </w:r>
          </w:p>
        </w:tc>
      </w:tr>
      <w:tr w:rsidR="00156FAC" w:rsidRPr="00156FAC" w14:paraId="6D1A9A59"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7D2CB51D"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372D1E3C"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31C4FC94"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05A9F516"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30A02758"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 Hill</w:t>
            </w:r>
          </w:p>
        </w:tc>
        <w:tc>
          <w:tcPr>
            <w:tcW w:w="5670" w:type="dxa"/>
            <w:tcBorders>
              <w:top w:val="nil"/>
              <w:left w:val="single" w:sz="4" w:space="0" w:color="auto"/>
              <w:bottom w:val="nil"/>
              <w:right w:val="single" w:sz="4" w:space="0" w:color="auto"/>
            </w:tcBorders>
            <w:shd w:val="clear" w:color="auto" w:fill="auto"/>
            <w:noWrap/>
            <w:vAlign w:val="bottom"/>
            <w:hideMark/>
          </w:tcPr>
          <w:p w14:paraId="0B121ABC"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Physics:  Exotica Physics Analysis Group convenor</w:t>
            </w:r>
          </w:p>
        </w:tc>
        <w:tc>
          <w:tcPr>
            <w:tcW w:w="717" w:type="dxa"/>
            <w:tcBorders>
              <w:top w:val="nil"/>
              <w:left w:val="single" w:sz="4" w:space="0" w:color="auto"/>
              <w:bottom w:val="nil"/>
              <w:right w:val="single" w:sz="4" w:space="0" w:color="auto"/>
            </w:tcBorders>
            <w:shd w:val="clear" w:color="auto" w:fill="auto"/>
            <w:noWrap/>
            <w:vAlign w:val="bottom"/>
            <w:hideMark/>
          </w:tcPr>
          <w:p w14:paraId="01D5E474"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0A7B7D7B"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642BF049"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04AE0033"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16926D65"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35CB5EF2"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3E899D98"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 xml:space="preserve">S </w:t>
            </w:r>
            <w:proofErr w:type="spellStart"/>
            <w:r w:rsidRPr="00156FAC">
              <w:rPr>
                <w:rFonts w:ascii="Times New Roman" w:eastAsia="Times New Roman" w:hAnsi="Times New Roman" w:cs="Times New Roman"/>
                <w:sz w:val="20"/>
                <w:szCs w:val="20"/>
              </w:rPr>
              <w:t>Metson</w:t>
            </w:r>
            <w:proofErr w:type="spellEnd"/>
          </w:p>
        </w:tc>
        <w:tc>
          <w:tcPr>
            <w:tcW w:w="5670" w:type="dxa"/>
            <w:tcBorders>
              <w:top w:val="nil"/>
              <w:left w:val="single" w:sz="4" w:space="0" w:color="auto"/>
              <w:bottom w:val="nil"/>
              <w:right w:val="single" w:sz="4" w:space="0" w:color="auto"/>
            </w:tcBorders>
            <w:shd w:val="clear" w:color="auto" w:fill="auto"/>
            <w:noWrap/>
            <w:vAlign w:val="bottom"/>
            <w:hideMark/>
          </w:tcPr>
          <w:p w14:paraId="406F95C1"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Offline and Computing: Data &amp; Workflow Management coordinator</w:t>
            </w:r>
          </w:p>
        </w:tc>
        <w:tc>
          <w:tcPr>
            <w:tcW w:w="717" w:type="dxa"/>
            <w:tcBorders>
              <w:top w:val="nil"/>
              <w:left w:val="single" w:sz="4" w:space="0" w:color="auto"/>
              <w:bottom w:val="nil"/>
              <w:right w:val="single" w:sz="4" w:space="0" w:color="auto"/>
            </w:tcBorders>
            <w:shd w:val="clear" w:color="auto" w:fill="auto"/>
            <w:noWrap/>
            <w:vAlign w:val="bottom"/>
            <w:hideMark/>
          </w:tcPr>
          <w:p w14:paraId="4DB50D48"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51A11CA5"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560630F2"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4690953F"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Computing Upgrade project manager</w:t>
            </w:r>
          </w:p>
        </w:tc>
        <w:tc>
          <w:tcPr>
            <w:tcW w:w="717" w:type="dxa"/>
            <w:tcBorders>
              <w:top w:val="nil"/>
              <w:left w:val="single" w:sz="4" w:space="0" w:color="auto"/>
              <w:bottom w:val="nil"/>
              <w:right w:val="single" w:sz="4" w:space="0" w:color="auto"/>
            </w:tcBorders>
            <w:shd w:val="clear" w:color="auto" w:fill="auto"/>
            <w:noWrap/>
            <w:vAlign w:val="bottom"/>
            <w:hideMark/>
          </w:tcPr>
          <w:p w14:paraId="117BB37A"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71F46674"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2CD4D12A"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7B690F52"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5B29E99F"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7D0ED7B9"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480B6D58"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 xml:space="preserve">D </w:t>
            </w:r>
            <w:proofErr w:type="spellStart"/>
            <w:r w:rsidRPr="00156FAC">
              <w:rPr>
                <w:rFonts w:ascii="Times New Roman" w:eastAsia="Times New Roman" w:hAnsi="Times New Roman" w:cs="Times New Roman"/>
                <w:sz w:val="20"/>
                <w:szCs w:val="20"/>
              </w:rPr>
              <w:t>Newbold</w:t>
            </w:r>
            <w:proofErr w:type="spellEnd"/>
          </w:p>
        </w:tc>
        <w:tc>
          <w:tcPr>
            <w:tcW w:w="5670" w:type="dxa"/>
            <w:tcBorders>
              <w:top w:val="nil"/>
              <w:left w:val="single" w:sz="4" w:space="0" w:color="auto"/>
              <w:bottom w:val="nil"/>
              <w:right w:val="single" w:sz="4" w:space="0" w:color="auto"/>
            </w:tcBorders>
            <w:shd w:val="clear" w:color="auto" w:fill="auto"/>
            <w:noWrap/>
            <w:vAlign w:val="bottom"/>
            <w:hideMark/>
          </w:tcPr>
          <w:p w14:paraId="796EB6E3"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Trigger and Data Acquisition Institution Board Chair</w:t>
            </w:r>
          </w:p>
        </w:tc>
        <w:tc>
          <w:tcPr>
            <w:tcW w:w="717" w:type="dxa"/>
            <w:tcBorders>
              <w:top w:val="nil"/>
              <w:left w:val="single" w:sz="4" w:space="0" w:color="auto"/>
              <w:bottom w:val="nil"/>
              <w:right w:val="single" w:sz="4" w:space="0" w:color="auto"/>
            </w:tcBorders>
            <w:shd w:val="clear" w:color="auto" w:fill="auto"/>
            <w:noWrap/>
            <w:vAlign w:val="bottom"/>
            <w:hideMark/>
          </w:tcPr>
          <w:p w14:paraId="510D0F3F"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4BAB32F0"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3D76CD5E"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11B15E0D"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Exotica Editorial Board Member</w:t>
            </w:r>
          </w:p>
        </w:tc>
        <w:tc>
          <w:tcPr>
            <w:tcW w:w="717" w:type="dxa"/>
            <w:tcBorders>
              <w:top w:val="nil"/>
              <w:left w:val="single" w:sz="4" w:space="0" w:color="auto"/>
              <w:bottom w:val="nil"/>
              <w:right w:val="single" w:sz="4" w:space="0" w:color="auto"/>
            </w:tcBorders>
            <w:shd w:val="clear" w:color="auto" w:fill="auto"/>
            <w:noWrap/>
            <w:vAlign w:val="bottom"/>
            <w:hideMark/>
          </w:tcPr>
          <w:p w14:paraId="163D607C"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009FAD5B"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01CDFC61"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5657CAE3"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Higgs Editorial Board Member</w:t>
            </w:r>
          </w:p>
        </w:tc>
        <w:tc>
          <w:tcPr>
            <w:tcW w:w="717" w:type="dxa"/>
            <w:tcBorders>
              <w:top w:val="nil"/>
              <w:left w:val="single" w:sz="4" w:space="0" w:color="auto"/>
              <w:bottom w:val="nil"/>
              <w:right w:val="single" w:sz="4" w:space="0" w:color="auto"/>
            </w:tcBorders>
            <w:shd w:val="clear" w:color="auto" w:fill="auto"/>
            <w:noWrap/>
            <w:vAlign w:val="bottom"/>
            <w:hideMark/>
          </w:tcPr>
          <w:p w14:paraId="41735564"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2EF9A4CF"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08CA3AB4"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513AB92C"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Trigger and Data Acquisition Resource Manager</w:t>
            </w:r>
          </w:p>
        </w:tc>
        <w:tc>
          <w:tcPr>
            <w:tcW w:w="717" w:type="dxa"/>
            <w:tcBorders>
              <w:top w:val="nil"/>
              <w:left w:val="single" w:sz="4" w:space="0" w:color="auto"/>
              <w:bottom w:val="nil"/>
              <w:right w:val="single" w:sz="4" w:space="0" w:color="auto"/>
            </w:tcBorders>
            <w:shd w:val="clear" w:color="auto" w:fill="auto"/>
            <w:noWrap/>
            <w:vAlign w:val="bottom"/>
            <w:hideMark/>
          </w:tcPr>
          <w:p w14:paraId="7E521B98"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219E8C66"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3A346627"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073FAE8D"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Computing and Offline Upgrade Manager</w:t>
            </w:r>
          </w:p>
        </w:tc>
        <w:tc>
          <w:tcPr>
            <w:tcW w:w="717" w:type="dxa"/>
            <w:tcBorders>
              <w:top w:val="nil"/>
              <w:left w:val="single" w:sz="4" w:space="0" w:color="auto"/>
              <w:bottom w:val="nil"/>
              <w:right w:val="single" w:sz="4" w:space="0" w:color="auto"/>
            </w:tcBorders>
            <w:shd w:val="clear" w:color="auto" w:fill="auto"/>
            <w:noWrap/>
            <w:vAlign w:val="bottom"/>
            <w:hideMark/>
          </w:tcPr>
          <w:p w14:paraId="050B67EC"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194925CA"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5A7CD95A"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02AB49A9"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Evolution of Computing Model Group Member</w:t>
            </w:r>
          </w:p>
        </w:tc>
        <w:tc>
          <w:tcPr>
            <w:tcW w:w="717" w:type="dxa"/>
            <w:tcBorders>
              <w:top w:val="nil"/>
              <w:left w:val="single" w:sz="4" w:space="0" w:color="auto"/>
              <w:bottom w:val="nil"/>
              <w:right w:val="single" w:sz="4" w:space="0" w:color="auto"/>
            </w:tcBorders>
            <w:shd w:val="clear" w:color="auto" w:fill="auto"/>
            <w:noWrap/>
            <w:vAlign w:val="bottom"/>
            <w:hideMark/>
          </w:tcPr>
          <w:p w14:paraId="2027287E"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768B8897"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263B6C8F"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50C069F0"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07197433"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536FB174"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6203F9CF" w14:textId="77777777" w:rsidR="00156FAC" w:rsidRPr="00156FAC" w:rsidRDefault="00156FAC" w:rsidP="00156FAC">
            <w:pPr>
              <w:spacing w:after="0"/>
              <w:rPr>
                <w:rFonts w:ascii="Times New Roman" w:eastAsia="Times New Roman" w:hAnsi="Times New Roman" w:cs="Times New Roman"/>
                <w:b/>
                <w:bCs/>
                <w:sz w:val="20"/>
                <w:szCs w:val="20"/>
              </w:rPr>
            </w:pPr>
            <w:r w:rsidRPr="00156FAC">
              <w:rPr>
                <w:rFonts w:ascii="Times New Roman" w:eastAsia="Times New Roman" w:hAnsi="Times New Roman" w:cs="Times New Roman"/>
                <w:b/>
                <w:bCs/>
                <w:sz w:val="20"/>
                <w:szCs w:val="20"/>
              </w:rPr>
              <w:t>Imperial College</w:t>
            </w:r>
          </w:p>
        </w:tc>
        <w:tc>
          <w:tcPr>
            <w:tcW w:w="5670" w:type="dxa"/>
            <w:tcBorders>
              <w:top w:val="nil"/>
              <w:left w:val="single" w:sz="4" w:space="0" w:color="auto"/>
              <w:bottom w:val="nil"/>
              <w:right w:val="single" w:sz="4" w:space="0" w:color="auto"/>
            </w:tcBorders>
            <w:shd w:val="clear" w:color="auto" w:fill="auto"/>
            <w:noWrap/>
            <w:vAlign w:val="bottom"/>
            <w:hideMark/>
          </w:tcPr>
          <w:p w14:paraId="4D93607A" w14:textId="77777777" w:rsidR="00156FAC" w:rsidRPr="00156FAC" w:rsidRDefault="00156FAC" w:rsidP="00156FAC">
            <w:pPr>
              <w:spacing w:after="0"/>
              <w:rPr>
                <w:rFonts w:ascii="Times New Roman" w:eastAsia="Times New Roman" w:hAnsi="Times New Roman" w:cs="Times New Roman"/>
                <w:b/>
                <w:bCs/>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6AAB9493"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4054F106"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7EF7981D"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R Bainbridge</w:t>
            </w:r>
          </w:p>
        </w:tc>
        <w:tc>
          <w:tcPr>
            <w:tcW w:w="5670" w:type="dxa"/>
            <w:tcBorders>
              <w:top w:val="nil"/>
              <w:left w:val="single" w:sz="4" w:space="0" w:color="auto"/>
              <w:bottom w:val="nil"/>
              <w:right w:val="single" w:sz="4" w:space="0" w:color="auto"/>
            </w:tcBorders>
            <w:shd w:val="clear" w:color="auto" w:fill="auto"/>
            <w:noWrap/>
            <w:vAlign w:val="bottom"/>
            <w:hideMark/>
          </w:tcPr>
          <w:p w14:paraId="7B937CBA"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Tracker Editorial Board member</w:t>
            </w:r>
          </w:p>
        </w:tc>
        <w:tc>
          <w:tcPr>
            <w:tcW w:w="717" w:type="dxa"/>
            <w:tcBorders>
              <w:top w:val="nil"/>
              <w:left w:val="single" w:sz="4" w:space="0" w:color="auto"/>
              <w:bottom w:val="nil"/>
              <w:right w:val="single" w:sz="4" w:space="0" w:color="auto"/>
            </w:tcBorders>
            <w:shd w:val="clear" w:color="auto" w:fill="auto"/>
            <w:noWrap/>
            <w:vAlign w:val="bottom"/>
            <w:hideMark/>
          </w:tcPr>
          <w:p w14:paraId="791F4988"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7C2011B2"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15AF4E85"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016407E8" w14:textId="77777777" w:rsidR="00156FAC" w:rsidRPr="00156FAC" w:rsidRDefault="00156FAC" w:rsidP="00156FAC">
            <w:pPr>
              <w:spacing w:after="0"/>
              <w:rPr>
                <w:rFonts w:ascii="Verdana" w:eastAsia="Times New Roman" w:hAnsi="Verdana"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2FDAE8C1"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535F8B1B"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7553D4D8"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 xml:space="preserve">O </w:t>
            </w:r>
            <w:proofErr w:type="spellStart"/>
            <w:r w:rsidRPr="00156FAC">
              <w:rPr>
                <w:rFonts w:ascii="Times New Roman" w:eastAsia="Times New Roman" w:hAnsi="Times New Roman" w:cs="Times New Roman"/>
                <w:sz w:val="20"/>
                <w:szCs w:val="20"/>
              </w:rPr>
              <w:t>Buchmueller</w:t>
            </w:r>
            <w:proofErr w:type="spellEnd"/>
          </w:p>
        </w:tc>
        <w:tc>
          <w:tcPr>
            <w:tcW w:w="5670" w:type="dxa"/>
            <w:tcBorders>
              <w:top w:val="nil"/>
              <w:left w:val="single" w:sz="4" w:space="0" w:color="auto"/>
              <w:bottom w:val="nil"/>
              <w:right w:val="single" w:sz="4" w:space="0" w:color="auto"/>
            </w:tcBorders>
            <w:shd w:val="clear" w:color="auto" w:fill="auto"/>
            <w:noWrap/>
            <w:vAlign w:val="bottom"/>
            <w:hideMark/>
          </w:tcPr>
          <w:p w14:paraId="2C1953FD"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Physics Office member</w:t>
            </w:r>
          </w:p>
        </w:tc>
        <w:tc>
          <w:tcPr>
            <w:tcW w:w="717" w:type="dxa"/>
            <w:tcBorders>
              <w:top w:val="nil"/>
              <w:left w:val="single" w:sz="4" w:space="0" w:color="auto"/>
              <w:bottom w:val="nil"/>
              <w:right w:val="single" w:sz="4" w:space="0" w:color="auto"/>
            </w:tcBorders>
            <w:shd w:val="clear" w:color="auto" w:fill="auto"/>
            <w:noWrap/>
            <w:vAlign w:val="bottom"/>
            <w:hideMark/>
          </w:tcPr>
          <w:p w14:paraId="4009CF39"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L1</w:t>
            </w:r>
          </w:p>
        </w:tc>
      </w:tr>
      <w:tr w:rsidR="00156FAC" w:rsidRPr="00156FAC" w14:paraId="5AFEAF38"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13687D01"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2A903BF2"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328CB4BE"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26334D0A"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7794DB25"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 xml:space="preserve">C </w:t>
            </w:r>
            <w:proofErr w:type="spellStart"/>
            <w:r w:rsidRPr="00156FAC">
              <w:rPr>
                <w:rFonts w:ascii="Times New Roman" w:eastAsia="Times New Roman" w:hAnsi="Times New Roman" w:cs="Times New Roman"/>
                <w:sz w:val="20"/>
                <w:szCs w:val="20"/>
              </w:rPr>
              <w:t>Foudas</w:t>
            </w:r>
            <w:proofErr w:type="spellEnd"/>
          </w:p>
        </w:tc>
        <w:tc>
          <w:tcPr>
            <w:tcW w:w="5670" w:type="dxa"/>
            <w:tcBorders>
              <w:top w:val="nil"/>
              <w:left w:val="single" w:sz="4" w:space="0" w:color="auto"/>
              <w:bottom w:val="nil"/>
              <w:right w:val="single" w:sz="4" w:space="0" w:color="auto"/>
            </w:tcBorders>
            <w:shd w:val="clear" w:color="auto" w:fill="auto"/>
            <w:noWrap/>
            <w:vAlign w:val="bottom"/>
            <w:hideMark/>
          </w:tcPr>
          <w:p w14:paraId="24A8188C"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Trigger Project: Global Calorimeter Trigger project manager</w:t>
            </w:r>
          </w:p>
        </w:tc>
        <w:tc>
          <w:tcPr>
            <w:tcW w:w="717" w:type="dxa"/>
            <w:tcBorders>
              <w:top w:val="nil"/>
              <w:left w:val="single" w:sz="4" w:space="0" w:color="auto"/>
              <w:bottom w:val="nil"/>
              <w:right w:val="single" w:sz="4" w:space="0" w:color="auto"/>
            </w:tcBorders>
            <w:shd w:val="clear" w:color="auto" w:fill="auto"/>
            <w:noWrap/>
            <w:vAlign w:val="bottom"/>
            <w:hideMark/>
          </w:tcPr>
          <w:p w14:paraId="43E7945B"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L1</w:t>
            </w:r>
          </w:p>
        </w:tc>
      </w:tr>
      <w:tr w:rsidR="00156FAC" w:rsidRPr="00156FAC" w14:paraId="318248DB"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191F3447"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5D2551BF"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Upgrade Project: trigger coordinator</w:t>
            </w:r>
          </w:p>
        </w:tc>
        <w:tc>
          <w:tcPr>
            <w:tcW w:w="717" w:type="dxa"/>
            <w:tcBorders>
              <w:top w:val="nil"/>
              <w:left w:val="single" w:sz="4" w:space="0" w:color="auto"/>
              <w:bottom w:val="nil"/>
              <w:right w:val="single" w:sz="4" w:space="0" w:color="auto"/>
            </w:tcBorders>
            <w:shd w:val="clear" w:color="auto" w:fill="auto"/>
            <w:noWrap/>
            <w:vAlign w:val="bottom"/>
            <w:hideMark/>
          </w:tcPr>
          <w:p w14:paraId="40D11E40"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25FE3AF7"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6E31B799"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045D51B6"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27CAB13D"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3D5F7607"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2528EC59"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 xml:space="preserve">D </w:t>
            </w:r>
            <w:proofErr w:type="spellStart"/>
            <w:r w:rsidRPr="00156FAC">
              <w:rPr>
                <w:rFonts w:ascii="Times New Roman" w:eastAsia="Times New Roman" w:hAnsi="Times New Roman" w:cs="Times New Roman"/>
                <w:sz w:val="20"/>
                <w:szCs w:val="20"/>
              </w:rPr>
              <w:t>Futyan</w:t>
            </w:r>
            <w:proofErr w:type="spellEnd"/>
          </w:p>
        </w:tc>
        <w:tc>
          <w:tcPr>
            <w:tcW w:w="5670" w:type="dxa"/>
            <w:tcBorders>
              <w:top w:val="nil"/>
              <w:left w:val="single" w:sz="4" w:space="0" w:color="auto"/>
              <w:bottom w:val="nil"/>
              <w:right w:val="single" w:sz="4" w:space="0" w:color="auto"/>
            </w:tcBorders>
            <w:shd w:val="clear" w:color="auto" w:fill="auto"/>
            <w:noWrap/>
            <w:vAlign w:val="bottom"/>
            <w:hideMark/>
          </w:tcPr>
          <w:p w14:paraId="2DFFEB46"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 xml:space="preserve">CMS Physics: </w:t>
            </w:r>
            <w:proofErr w:type="spellStart"/>
            <w:r w:rsidRPr="00156FAC">
              <w:rPr>
                <w:rFonts w:ascii="Times New Roman" w:eastAsia="Times New Roman" w:hAnsi="Times New Roman" w:cs="Times New Roman"/>
                <w:sz w:val="20"/>
                <w:szCs w:val="20"/>
              </w:rPr>
              <w:t>egamma</w:t>
            </w:r>
            <w:proofErr w:type="spellEnd"/>
            <w:r w:rsidRPr="00156FAC">
              <w:rPr>
                <w:rFonts w:ascii="Times New Roman" w:eastAsia="Times New Roman" w:hAnsi="Times New Roman" w:cs="Times New Roman"/>
                <w:sz w:val="20"/>
                <w:szCs w:val="20"/>
              </w:rPr>
              <w:t xml:space="preserve"> Physics Object Group convener</w:t>
            </w:r>
          </w:p>
        </w:tc>
        <w:tc>
          <w:tcPr>
            <w:tcW w:w="717" w:type="dxa"/>
            <w:tcBorders>
              <w:top w:val="nil"/>
              <w:left w:val="single" w:sz="4" w:space="0" w:color="auto"/>
              <w:bottom w:val="nil"/>
              <w:right w:val="single" w:sz="4" w:space="0" w:color="auto"/>
            </w:tcBorders>
            <w:shd w:val="clear" w:color="auto" w:fill="auto"/>
            <w:noWrap/>
            <w:vAlign w:val="bottom"/>
            <w:hideMark/>
          </w:tcPr>
          <w:p w14:paraId="4AA880BB"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1634A686"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123FBA32"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31D6C6DD"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371405F0"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611611A2"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7CE53074"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G Hall</w:t>
            </w:r>
          </w:p>
        </w:tc>
        <w:tc>
          <w:tcPr>
            <w:tcW w:w="5670" w:type="dxa"/>
            <w:tcBorders>
              <w:top w:val="nil"/>
              <w:left w:val="single" w:sz="4" w:space="0" w:color="auto"/>
              <w:bottom w:val="nil"/>
              <w:right w:val="single" w:sz="4" w:space="0" w:color="auto"/>
            </w:tcBorders>
            <w:shd w:val="clear" w:color="auto" w:fill="auto"/>
            <w:noWrap/>
            <w:vAlign w:val="bottom"/>
            <w:hideMark/>
          </w:tcPr>
          <w:p w14:paraId="7F80C0CE"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UK representative on CMS Management &amp; Finance Board</w:t>
            </w:r>
          </w:p>
        </w:tc>
        <w:tc>
          <w:tcPr>
            <w:tcW w:w="717" w:type="dxa"/>
            <w:tcBorders>
              <w:top w:val="nil"/>
              <w:left w:val="single" w:sz="4" w:space="0" w:color="auto"/>
              <w:bottom w:val="nil"/>
              <w:right w:val="single" w:sz="4" w:space="0" w:color="auto"/>
            </w:tcBorders>
            <w:shd w:val="clear" w:color="auto" w:fill="auto"/>
            <w:noWrap/>
            <w:vAlign w:val="bottom"/>
            <w:hideMark/>
          </w:tcPr>
          <w:p w14:paraId="6892C17F"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L1</w:t>
            </w:r>
          </w:p>
        </w:tc>
      </w:tr>
      <w:tr w:rsidR="00156FAC" w:rsidRPr="00156FAC" w14:paraId="195BAE28"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26AF4E4B"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2E5B4FF0"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Collaboration Board member</w:t>
            </w:r>
          </w:p>
        </w:tc>
        <w:tc>
          <w:tcPr>
            <w:tcW w:w="717" w:type="dxa"/>
            <w:tcBorders>
              <w:top w:val="nil"/>
              <w:left w:val="single" w:sz="4" w:space="0" w:color="auto"/>
              <w:bottom w:val="nil"/>
              <w:right w:val="single" w:sz="4" w:space="0" w:color="auto"/>
            </w:tcBorders>
            <w:shd w:val="clear" w:color="auto" w:fill="auto"/>
            <w:noWrap/>
            <w:vAlign w:val="bottom"/>
            <w:hideMark/>
          </w:tcPr>
          <w:p w14:paraId="7B9189AD"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L1</w:t>
            </w:r>
          </w:p>
        </w:tc>
      </w:tr>
      <w:tr w:rsidR="00156FAC" w:rsidRPr="00156FAC" w14:paraId="080BB496"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6D3502D4" w14:textId="77777777" w:rsidR="00156FAC" w:rsidRPr="00156FAC" w:rsidRDefault="00156FAC" w:rsidP="00156FAC">
            <w:pPr>
              <w:spacing w:after="0"/>
              <w:rPr>
                <w:rFonts w:ascii="Verdana" w:eastAsia="Times New Roman" w:hAnsi="Verdana"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25BA781A"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Tracker Upgrade coordinator</w:t>
            </w:r>
          </w:p>
        </w:tc>
        <w:tc>
          <w:tcPr>
            <w:tcW w:w="717" w:type="dxa"/>
            <w:tcBorders>
              <w:top w:val="nil"/>
              <w:left w:val="single" w:sz="4" w:space="0" w:color="auto"/>
              <w:bottom w:val="nil"/>
              <w:right w:val="single" w:sz="4" w:space="0" w:color="auto"/>
            </w:tcBorders>
            <w:shd w:val="clear" w:color="auto" w:fill="auto"/>
            <w:noWrap/>
            <w:vAlign w:val="bottom"/>
            <w:hideMark/>
          </w:tcPr>
          <w:p w14:paraId="3BD57C3B"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0C7745BE"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441B871A" w14:textId="77777777" w:rsidR="00156FAC" w:rsidRPr="00156FAC" w:rsidRDefault="00156FAC" w:rsidP="00156FAC">
            <w:pPr>
              <w:spacing w:after="0"/>
              <w:rPr>
                <w:rFonts w:ascii="Verdana" w:eastAsia="Times New Roman" w:hAnsi="Verdana"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6F1ADB84"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Tracker  Management Board</w:t>
            </w:r>
          </w:p>
        </w:tc>
        <w:tc>
          <w:tcPr>
            <w:tcW w:w="717" w:type="dxa"/>
            <w:tcBorders>
              <w:top w:val="nil"/>
              <w:left w:val="single" w:sz="4" w:space="0" w:color="auto"/>
              <w:bottom w:val="nil"/>
              <w:right w:val="single" w:sz="4" w:space="0" w:color="auto"/>
            </w:tcBorders>
            <w:shd w:val="clear" w:color="auto" w:fill="auto"/>
            <w:noWrap/>
            <w:vAlign w:val="bottom"/>
            <w:hideMark/>
          </w:tcPr>
          <w:p w14:paraId="45EF680B"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3ECF4CBE"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56BB3209" w14:textId="77777777" w:rsidR="00156FAC" w:rsidRPr="00156FAC" w:rsidRDefault="00156FAC" w:rsidP="00156FAC">
            <w:pPr>
              <w:spacing w:after="0"/>
              <w:rPr>
                <w:rFonts w:ascii="Verdana" w:eastAsia="Times New Roman" w:hAnsi="Verdana"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667B5CF5"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Tracker Upgrade Management Board</w:t>
            </w:r>
          </w:p>
        </w:tc>
        <w:tc>
          <w:tcPr>
            <w:tcW w:w="717" w:type="dxa"/>
            <w:tcBorders>
              <w:top w:val="nil"/>
              <w:left w:val="single" w:sz="4" w:space="0" w:color="auto"/>
              <w:bottom w:val="nil"/>
              <w:right w:val="single" w:sz="4" w:space="0" w:color="auto"/>
            </w:tcBorders>
            <w:shd w:val="clear" w:color="auto" w:fill="auto"/>
            <w:noWrap/>
            <w:vAlign w:val="bottom"/>
            <w:hideMark/>
          </w:tcPr>
          <w:p w14:paraId="07C58015"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0A322771"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31BFE7D2" w14:textId="77777777" w:rsidR="00156FAC" w:rsidRPr="00156FAC" w:rsidRDefault="00156FAC" w:rsidP="00156FAC">
            <w:pPr>
              <w:spacing w:after="0"/>
              <w:rPr>
                <w:rFonts w:ascii="Verdana" w:eastAsia="Times New Roman" w:hAnsi="Verdana"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2A2D321E"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47AB1ADB"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6238D9B6"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411FD266"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G Iles</w:t>
            </w:r>
          </w:p>
        </w:tc>
        <w:tc>
          <w:tcPr>
            <w:tcW w:w="5670" w:type="dxa"/>
            <w:tcBorders>
              <w:top w:val="nil"/>
              <w:left w:val="single" w:sz="4" w:space="0" w:color="auto"/>
              <w:bottom w:val="nil"/>
              <w:right w:val="single" w:sz="4" w:space="0" w:color="auto"/>
            </w:tcBorders>
            <w:shd w:val="clear" w:color="auto" w:fill="auto"/>
            <w:noWrap/>
            <w:vAlign w:val="bottom"/>
            <w:hideMark/>
          </w:tcPr>
          <w:p w14:paraId="7CD75D4E"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TRIDAS Institution Board member</w:t>
            </w:r>
          </w:p>
        </w:tc>
        <w:tc>
          <w:tcPr>
            <w:tcW w:w="717" w:type="dxa"/>
            <w:tcBorders>
              <w:top w:val="nil"/>
              <w:left w:val="single" w:sz="4" w:space="0" w:color="auto"/>
              <w:bottom w:val="nil"/>
              <w:right w:val="single" w:sz="4" w:space="0" w:color="auto"/>
            </w:tcBorders>
            <w:shd w:val="clear" w:color="auto" w:fill="auto"/>
            <w:noWrap/>
            <w:vAlign w:val="bottom"/>
            <w:hideMark/>
          </w:tcPr>
          <w:p w14:paraId="05031492"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3F1985B6"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3A050F8E"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6F329EC3"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Firmware Coordinator</w:t>
            </w:r>
          </w:p>
        </w:tc>
        <w:tc>
          <w:tcPr>
            <w:tcW w:w="717" w:type="dxa"/>
            <w:tcBorders>
              <w:top w:val="nil"/>
              <w:left w:val="single" w:sz="4" w:space="0" w:color="auto"/>
              <w:bottom w:val="nil"/>
              <w:right w:val="single" w:sz="4" w:space="0" w:color="auto"/>
            </w:tcBorders>
            <w:shd w:val="clear" w:color="auto" w:fill="auto"/>
            <w:noWrap/>
            <w:vAlign w:val="bottom"/>
            <w:hideMark/>
          </w:tcPr>
          <w:p w14:paraId="4C67A45E"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790EF539"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512B6F9B"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0A657B02"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36D734BD"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4C9DB9F7"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4DE27F3F"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 Lyons</w:t>
            </w:r>
          </w:p>
        </w:tc>
        <w:tc>
          <w:tcPr>
            <w:tcW w:w="5670" w:type="dxa"/>
            <w:tcBorders>
              <w:top w:val="nil"/>
              <w:left w:val="single" w:sz="4" w:space="0" w:color="auto"/>
              <w:bottom w:val="nil"/>
              <w:right w:val="single" w:sz="4" w:space="0" w:color="auto"/>
            </w:tcBorders>
            <w:shd w:val="clear" w:color="auto" w:fill="auto"/>
            <w:noWrap/>
            <w:vAlign w:val="bottom"/>
            <w:hideMark/>
          </w:tcPr>
          <w:p w14:paraId="05387154"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Statistics Committee member</w:t>
            </w:r>
          </w:p>
        </w:tc>
        <w:tc>
          <w:tcPr>
            <w:tcW w:w="717" w:type="dxa"/>
            <w:tcBorders>
              <w:top w:val="nil"/>
              <w:left w:val="single" w:sz="4" w:space="0" w:color="auto"/>
              <w:bottom w:val="nil"/>
              <w:right w:val="single" w:sz="4" w:space="0" w:color="auto"/>
            </w:tcBorders>
            <w:shd w:val="clear" w:color="auto" w:fill="auto"/>
            <w:noWrap/>
            <w:vAlign w:val="bottom"/>
            <w:hideMark/>
          </w:tcPr>
          <w:p w14:paraId="451EE0AA"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1031CCB3"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59F41B43"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04C6ADB7"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6B5DFFF8"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0751947C"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6186AF64"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 xml:space="preserve">A-M </w:t>
            </w:r>
            <w:proofErr w:type="spellStart"/>
            <w:r w:rsidRPr="00156FAC">
              <w:rPr>
                <w:rFonts w:ascii="Times New Roman" w:eastAsia="Times New Roman" w:hAnsi="Times New Roman" w:cs="Times New Roman"/>
                <w:sz w:val="20"/>
                <w:szCs w:val="20"/>
              </w:rPr>
              <w:t>Magnan</w:t>
            </w:r>
            <w:proofErr w:type="spellEnd"/>
          </w:p>
        </w:tc>
        <w:tc>
          <w:tcPr>
            <w:tcW w:w="5670" w:type="dxa"/>
            <w:tcBorders>
              <w:top w:val="nil"/>
              <w:left w:val="single" w:sz="4" w:space="0" w:color="auto"/>
              <w:bottom w:val="nil"/>
              <w:right w:val="single" w:sz="4" w:space="0" w:color="auto"/>
            </w:tcBorders>
            <w:shd w:val="clear" w:color="auto" w:fill="auto"/>
            <w:noWrap/>
            <w:vAlign w:val="bottom"/>
            <w:hideMark/>
          </w:tcPr>
          <w:p w14:paraId="07036A4B"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Tracker Point 5 Operations manager</w:t>
            </w:r>
          </w:p>
        </w:tc>
        <w:tc>
          <w:tcPr>
            <w:tcW w:w="717" w:type="dxa"/>
            <w:tcBorders>
              <w:top w:val="nil"/>
              <w:left w:val="single" w:sz="4" w:space="0" w:color="auto"/>
              <w:bottom w:val="nil"/>
              <w:right w:val="single" w:sz="4" w:space="0" w:color="auto"/>
            </w:tcBorders>
            <w:shd w:val="clear" w:color="auto" w:fill="auto"/>
            <w:noWrap/>
            <w:vAlign w:val="bottom"/>
            <w:hideMark/>
          </w:tcPr>
          <w:p w14:paraId="205C12FF"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6A50B2E5"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5FBA1656"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00F7D16A"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VB &amp; heavy flavour sub-group: co-convenor</w:t>
            </w:r>
          </w:p>
        </w:tc>
        <w:tc>
          <w:tcPr>
            <w:tcW w:w="717" w:type="dxa"/>
            <w:tcBorders>
              <w:top w:val="nil"/>
              <w:left w:val="single" w:sz="4" w:space="0" w:color="auto"/>
              <w:bottom w:val="nil"/>
              <w:right w:val="single" w:sz="4" w:space="0" w:color="auto"/>
            </w:tcBorders>
            <w:shd w:val="clear" w:color="auto" w:fill="auto"/>
            <w:noWrap/>
            <w:vAlign w:val="bottom"/>
            <w:hideMark/>
          </w:tcPr>
          <w:p w14:paraId="591734C8"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463FA112"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34EBFE04"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5C7CBED6"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VB + jets sub-group: co-convenor</w:t>
            </w:r>
          </w:p>
        </w:tc>
        <w:tc>
          <w:tcPr>
            <w:tcW w:w="717" w:type="dxa"/>
            <w:tcBorders>
              <w:top w:val="nil"/>
              <w:left w:val="single" w:sz="4" w:space="0" w:color="auto"/>
              <w:bottom w:val="nil"/>
              <w:right w:val="single" w:sz="4" w:space="0" w:color="auto"/>
            </w:tcBorders>
            <w:shd w:val="clear" w:color="auto" w:fill="auto"/>
            <w:noWrap/>
            <w:vAlign w:val="bottom"/>
            <w:hideMark/>
          </w:tcPr>
          <w:p w14:paraId="1EDE03AC"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5FC2E180"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1213033D"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7E6FEA83"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486181F1"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5693C235"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5251DB5E"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 xml:space="preserve">A </w:t>
            </w:r>
            <w:proofErr w:type="spellStart"/>
            <w:r w:rsidRPr="00156FAC">
              <w:rPr>
                <w:rFonts w:ascii="Times New Roman" w:eastAsia="Times New Roman" w:hAnsi="Times New Roman" w:cs="Times New Roman"/>
                <w:sz w:val="20"/>
                <w:szCs w:val="20"/>
              </w:rPr>
              <w:t>Nikitenko</w:t>
            </w:r>
            <w:proofErr w:type="spellEnd"/>
          </w:p>
        </w:tc>
        <w:tc>
          <w:tcPr>
            <w:tcW w:w="5670" w:type="dxa"/>
            <w:tcBorders>
              <w:top w:val="nil"/>
              <w:left w:val="single" w:sz="4" w:space="0" w:color="auto"/>
              <w:bottom w:val="nil"/>
              <w:right w:val="single" w:sz="4" w:space="0" w:color="auto"/>
            </w:tcBorders>
            <w:shd w:val="clear" w:color="auto" w:fill="auto"/>
            <w:noWrap/>
            <w:vAlign w:val="bottom"/>
            <w:hideMark/>
          </w:tcPr>
          <w:p w14:paraId="29598642"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Higgs Physics Analysis Group: Higgs-&gt; tau + tau sub-group convenor</w:t>
            </w:r>
          </w:p>
        </w:tc>
        <w:tc>
          <w:tcPr>
            <w:tcW w:w="717" w:type="dxa"/>
            <w:tcBorders>
              <w:top w:val="nil"/>
              <w:left w:val="single" w:sz="4" w:space="0" w:color="auto"/>
              <w:bottom w:val="nil"/>
              <w:right w:val="single" w:sz="4" w:space="0" w:color="auto"/>
            </w:tcBorders>
            <w:shd w:val="clear" w:color="auto" w:fill="auto"/>
            <w:noWrap/>
            <w:vAlign w:val="bottom"/>
            <w:hideMark/>
          </w:tcPr>
          <w:p w14:paraId="584B29E9"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64E795D1"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7D8E610A"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5A2DAB27"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50EB1092"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21F4EBA6"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236B5888"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 xml:space="preserve">C </w:t>
            </w:r>
            <w:proofErr w:type="spellStart"/>
            <w:r w:rsidRPr="00156FAC">
              <w:rPr>
                <w:rFonts w:ascii="Times New Roman" w:eastAsia="Times New Roman" w:hAnsi="Times New Roman" w:cs="Times New Roman"/>
                <w:sz w:val="20"/>
                <w:szCs w:val="20"/>
              </w:rPr>
              <w:t>Seez</w:t>
            </w:r>
            <w:proofErr w:type="spellEnd"/>
          </w:p>
        </w:tc>
        <w:tc>
          <w:tcPr>
            <w:tcW w:w="5670" w:type="dxa"/>
            <w:tcBorders>
              <w:top w:val="nil"/>
              <w:left w:val="single" w:sz="4" w:space="0" w:color="auto"/>
              <w:bottom w:val="nil"/>
              <w:right w:val="single" w:sz="4" w:space="0" w:color="auto"/>
            </w:tcBorders>
            <w:shd w:val="clear" w:color="auto" w:fill="auto"/>
            <w:noWrap/>
            <w:vAlign w:val="bottom"/>
            <w:hideMark/>
          </w:tcPr>
          <w:p w14:paraId="68301892"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 xml:space="preserve">Higgs to gamma </w:t>
            </w:r>
            <w:proofErr w:type="spellStart"/>
            <w:r w:rsidRPr="00156FAC">
              <w:rPr>
                <w:rFonts w:ascii="Times New Roman" w:eastAsia="Times New Roman" w:hAnsi="Times New Roman" w:cs="Times New Roman"/>
                <w:sz w:val="20"/>
                <w:szCs w:val="20"/>
              </w:rPr>
              <w:t>gamma</w:t>
            </w:r>
            <w:proofErr w:type="spellEnd"/>
            <w:r w:rsidRPr="00156FAC">
              <w:rPr>
                <w:rFonts w:ascii="Times New Roman" w:eastAsia="Times New Roman" w:hAnsi="Times New Roman" w:cs="Times New Roman"/>
                <w:sz w:val="20"/>
                <w:szCs w:val="20"/>
              </w:rPr>
              <w:t xml:space="preserve"> subgroup convener</w:t>
            </w:r>
          </w:p>
        </w:tc>
        <w:tc>
          <w:tcPr>
            <w:tcW w:w="717" w:type="dxa"/>
            <w:tcBorders>
              <w:top w:val="nil"/>
              <w:left w:val="single" w:sz="4" w:space="0" w:color="auto"/>
              <w:bottom w:val="nil"/>
              <w:right w:val="single" w:sz="4" w:space="0" w:color="auto"/>
            </w:tcBorders>
            <w:shd w:val="clear" w:color="auto" w:fill="auto"/>
            <w:noWrap/>
            <w:vAlign w:val="bottom"/>
            <w:hideMark/>
          </w:tcPr>
          <w:p w14:paraId="56980B43"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304F9705"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4C00FEC5"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5D3A9FA2"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Member ECAL Joint Institution and Finance Board</w:t>
            </w:r>
          </w:p>
        </w:tc>
        <w:tc>
          <w:tcPr>
            <w:tcW w:w="717" w:type="dxa"/>
            <w:tcBorders>
              <w:top w:val="nil"/>
              <w:left w:val="single" w:sz="4" w:space="0" w:color="auto"/>
              <w:bottom w:val="nil"/>
              <w:right w:val="single" w:sz="4" w:space="0" w:color="auto"/>
            </w:tcBorders>
            <w:shd w:val="clear" w:color="auto" w:fill="auto"/>
            <w:noWrap/>
            <w:vAlign w:val="bottom"/>
            <w:hideMark/>
          </w:tcPr>
          <w:p w14:paraId="1A6859F4"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3EF9D64A"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78616930"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4C0D567D"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ECAL Editorial Board member</w:t>
            </w:r>
          </w:p>
        </w:tc>
        <w:tc>
          <w:tcPr>
            <w:tcW w:w="717" w:type="dxa"/>
            <w:tcBorders>
              <w:top w:val="nil"/>
              <w:left w:val="single" w:sz="4" w:space="0" w:color="auto"/>
              <w:bottom w:val="nil"/>
              <w:right w:val="single" w:sz="4" w:space="0" w:color="auto"/>
            </w:tcBorders>
            <w:shd w:val="clear" w:color="auto" w:fill="auto"/>
            <w:noWrap/>
            <w:vAlign w:val="bottom"/>
            <w:hideMark/>
          </w:tcPr>
          <w:p w14:paraId="6116B3BA"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18E282F8"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119EA80E"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0EA1EC64"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2FBA4B2B"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0F06A99B"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44C72F79"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J Nash</w:t>
            </w:r>
          </w:p>
        </w:tc>
        <w:tc>
          <w:tcPr>
            <w:tcW w:w="5670" w:type="dxa"/>
            <w:tcBorders>
              <w:top w:val="nil"/>
              <w:left w:val="single" w:sz="4" w:space="0" w:color="auto"/>
              <w:bottom w:val="nil"/>
              <w:right w:val="single" w:sz="4" w:space="0" w:color="auto"/>
            </w:tcBorders>
            <w:shd w:val="clear" w:color="auto" w:fill="auto"/>
            <w:noWrap/>
            <w:vAlign w:val="bottom"/>
            <w:hideMark/>
          </w:tcPr>
          <w:p w14:paraId="28750475"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Upgrade project manager</w:t>
            </w:r>
          </w:p>
        </w:tc>
        <w:tc>
          <w:tcPr>
            <w:tcW w:w="717" w:type="dxa"/>
            <w:tcBorders>
              <w:top w:val="nil"/>
              <w:left w:val="single" w:sz="4" w:space="0" w:color="auto"/>
              <w:bottom w:val="nil"/>
              <w:right w:val="single" w:sz="4" w:space="0" w:color="auto"/>
            </w:tcBorders>
            <w:shd w:val="clear" w:color="auto" w:fill="auto"/>
            <w:noWrap/>
            <w:vAlign w:val="bottom"/>
            <w:hideMark/>
          </w:tcPr>
          <w:p w14:paraId="19E8B223"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L1</w:t>
            </w:r>
          </w:p>
        </w:tc>
      </w:tr>
      <w:tr w:rsidR="00156FAC" w:rsidRPr="00156FAC" w14:paraId="5AFD529F"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0DA55E54"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1C2066C7"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Management Board member</w:t>
            </w:r>
          </w:p>
        </w:tc>
        <w:tc>
          <w:tcPr>
            <w:tcW w:w="717" w:type="dxa"/>
            <w:tcBorders>
              <w:top w:val="nil"/>
              <w:left w:val="single" w:sz="4" w:space="0" w:color="auto"/>
              <w:bottom w:val="nil"/>
              <w:right w:val="single" w:sz="4" w:space="0" w:color="auto"/>
            </w:tcBorders>
            <w:shd w:val="clear" w:color="auto" w:fill="auto"/>
            <w:noWrap/>
            <w:vAlign w:val="bottom"/>
            <w:hideMark/>
          </w:tcPr>
          <w:p w14:paraId="66A820C0"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L1</w:t>
            </w:r>
          </w:p>
        </w:tc>
      </w:tr>
      <w:tr w:rsidR="00156FAC" w:rsidRPr="00156FAC" w14:paraId="799B1A08"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435774AE"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0D2405AA"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Executive Board member</w:t>
            </w:r>
          </w:p>
        </w:tc>
        <w:tc>
          <w:tcPr>
            <w:tcW w:w="717" w:type="dxa"/>
            <w:tcBorders>
              <w:top w:val="nil"/>
              <w:left w:val="single" w:sz="4" w:space="0" w:color="auto"/>
              <w:bottom w:val="nil"/>
              <w:right w:val="single" w:sz="4" w:space="0" w:color="auto"/>
            </w:tcBorders>
            <w:shd w:val="clear" w:color="auto" w:fill="auto"/>
            <w:noWrap/>
            <w:vAlign w:val="bottom"/>
            <w:hideMark/>
          </w:tcPr>
          <w:p w14:paraId="47A0A9B3"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L1</w:t>
            </w:r>
          </w:p>
        </w:tc>
      </w:tr>
      <w:tr w:rsidR="00156FAC" w:rsidRPr="00156FAC" w14:paraId="2CCB1447"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4E429539"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6B639055"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07A05434"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7C698489"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05D5A2EA"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A Tapper</w:t>
            </w:r>
          </w:p>
        </w:tc>
        <w:tc>
          <w:tcPr>
            <w:tcW w:w="5670" w:type="dxa"/>
            <w:tcBorders>
              <w:top w:val="nil"/>
              <w:left w:val="single" w:sz="4" w:space="0" w:color="auto"/>
              <w:bottom w:val="nil"/>
              <w:right w:val="single" w:sz="4" w:space="0" w:color="auto"/>
            </w:tcBorders>
            <w:shd w:val="clear" w:color="auto" w:fill="auto"/>
            <w:noWrap/>
            <w:vAlign w:val="bottom"/>
            <w:hideMark/>
          </w:tcPr>
          <w:p w14:paraId="6FD7AA8B"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SUSY Hadron Analysis sub-group; convenor</w:t>
            </w:r>
          </w:p>
        </w:tc>
        <w:tc>
          <w:tcPr>
            <w:tcW w:w="717" w:type="dxa"/>
            <w:tcBorders>
              <w:top w:val="nil"/>
              <w:left w:val="single" w:sz="4" w:space="0" w:color="auto"/>
              <w:bottom w:val="nil"/>
              <w:right w:val="single" w:sz="4" w:space="0" w:color="auto"/>
            </w:tcBorders>
            <w:shd w:val="clear" w:color="auto" w:fill="auto"/>
            <w:noWrap/>
            <w:vAlign w:val="bottom"/>
            <w:hideMark/>
          </w:tcPr>
          <w:p w14:paraId="5AEE20B4"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0E8E1E7F"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770E723A"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00412205"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SUSY Physics Analysis Group: convenor</w:t>
            </w:r>
          </w:p>
        </w:tc>
        <w:tc>
          <w:tcPr>
            <w:tcW w:w="717" w:type="dxa"/>
            <w:tcBorders>
              <w:top w:val="nil"/>
              <w:left w:val="single" w:sz="4" w:space="0" w:color="auto"/>
              <w:bottom w:val="nil"/>
              <w:right w:val="single" w:sz="4" w:space="0" w:color="auto"/>
            </w:tcBorders>
            <w:shd w:val="clear" w:color="auto" w:fill="auto"/>
            <w:noWrap/>
            <w:vAlign w:val="bottom"/>
            <w:hideMark/>
          </w:tcPr>
          <w:p w14:paraId="1613BEDF"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12070A1B"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7D34AB6D"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68A164C3" w14:textId="77777777" w:rsidR="00156FAC" w:rsidRPr="00156FAC" w:rsidRDefault="00156FAC" w:rsidP="00156FAC">
            <w:pPr>
              <w:spacing w:after="0"/>
              <w:rPr>
                <w:rFonts w:ascii="Times New Roman" w:eastAsia="Times New Roman" w:hAnsi="Times New Roman" w:cs="Times New Roman"/>
                <w:sz w:val="20"/>
                <w:szCs w:val="20"/>
              </w:rPr>
            </w:pPr>
            <w:proofErr w:type="spellStart"/>
            <w:r w:rsidRPr="00156FAC">
              <w:rPr>
                <w:rFonts w:ascii="Times New Roman" w:eastAsia="Times New Roman" w:hAnsi="Times New Roman" w:cs="Times New Roman"/>
                <w:sz w:val="20"/>
                <w:szCs w:val="20"/>
              </w:rPr>
              <w:t>TriDAS</w:t>
            </w:r>
            <w:proofErr w:type="spellEnd"/>
            <w:r w:rsidRPr="00156FAC">
              <w:rPr>
                <w:rFonts w:ascii="Times New Roman" w:eastAsia="Times New Roman" w:hAnsi="Times New Roman" w:cs="Times New Roman"/>
                <w:sz w:val="20"/>
                <w:szCs w:val="20"/>
              </w:rPr>
              <w:t xml:space="preserve"> Institution Board member</w:t>
            </w:r>
          </w:p>
        </w:tc>
        <w:tc>
          <w:tcPr>
            <w:tcW w:w="717" w:type="dxa"/>
            <w:tcBorders>
              <w:top w:val="nil"/>
              <w:left w:val="single" w:sz="4" w:space="0" w:color="auto"/>
              <w:bottom w:val="nil"/>
              <w:right w:val="single" w:sz="4" w:space="0" w:color="auto"/>
            </w:tcBorders>
            <w:shd w:val="clear" w:color="auto" w:fill="auto"/>
            <w:noWrap/>
            <w:vAlign w:val="bottom"/>
            <w:hideMark/>
          </w:tcPr>
          <w:p w14:paraId="26EDF61A"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51CEC58A"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331B6C4D"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3E168C2E"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L1 Global Calorimeter Trigger Project Manager</w:t>
            </w:r>
          </w:p>
        </w:tc>
        <w:tc>
          <w:tcPr>
            <w:tcW w:w="717" w:type="dxa"/>
            <w:tcBorders>
              <w:top w:val="nil"/>
              <w:left w:val="single" w:sz="4" w:space="0" w:color="auto"/>
              <w:bottom w:val="nil"/>
              <w:right w:val="single" w:sz="4" w:space="0" w:color="auto"/>
            </w:tcBorders>
            <w:shd w:val="clear" w:color="auto" w:fill="auto"/>
            <w:noWrap/>
            <w:vAlign w:val="bottom"/>
            <w:hideMark/>
          </w:tcPr>
          <w:p w14:paraId="39B437D5"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L1</w:t>
            </w:r>
          </w:p>
        </w:tc>
      </w:tr>
      <w:tr w:rsidR="00156FAC" w:rsidRPr="00156FAC" w14:paraId="543BDD7D"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047D23D7"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4FD4A760"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L1 Trigger Upgrade Project Manager</w:t>
            </w:r>
          </w:p>
        </w:tc>
        <w:tc>
          <w:tcPr>
            <w:tcW w:w="717" w:type="dxa"/>
            <w:tcBorders>
              <w:top w:val="nil"/>
              <w:left w:val="single" w:sz="4" w:space="0" w:color="auto"/>
              <w:bottom w:val="nil"/>
              <w:right w:val="single" w:sz="4" w:space="0" w:color="auto"/>
            </w:tcBorders>
            <w:shd w:val="clear" w:color="auto" w:fill="auto"/>
            <w:noWrap/>
            <w:vAlign w:val="bottom"/>
            <w:hideMark/>
          </w:tcPr>
          <w:p w14:paraId="4795ADDD"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L1</w:t>
            </w:r>
          </w:p>
        </w:tc>
      </w:tr>
      <w:tr w:rsidR="00156FAC" w:rsidRPr="00156FAC" w14:paraId="33F92F32"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17ACD4F6"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5C729EF5"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Publications Committee (sub-committee SUSY)</w:t>
            </w:r>
          </w:p>
        </w:tc>
        <w:tc>
          <w:tcPr>
            <w:tcW w:w="717" w:type="dxa"/>
            <w:tcBorders>
              <w:top w:val="nil"/>
              <w:left w:val="single" w:sz="4" w:space="0" w:color="auto"/>
              <w:bottom w:val="nil"/>
              <w:right w:val="single" w:sz="4" w:space="0" w:color="auto"/>
            </w:tcBorders>
            <w:shd w:val="clear" w:color="auto" w:fill="auto"/>
            <w:noWrap/>
            <w:vAlign w:val="bottom"/>
            <w:hideMark/>
          </w:tcPr>
          <w:p w14:paraId="6FF8B9B4"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62F37A20"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79944DED"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497E8937"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67DB4BAF"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7AE79D8C"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31A0F9A3"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M Vasquez Acosta</w:t>
            </w:r>
          </w:p>
        </w:tc>
        <w:tc>
          <w:tcPr>
            <w:tcW w:w="5670" w:type="dxa"/>
            <w:tcBorders>
              <w:top w:val="nil"/>
              <w:left w:val="single" w:sz="4" w:space="0" w:color="auto"/>
              <w:bottom w:val="nil"/>
              <w:right w:val="single" w:sz="4" w:space="0" w:color="auto"/>
            </w:tcBorders>
            <w:shd w:val="clear" w:color="auto" w:fill="auto"/>
            <w:noWrap/>
            <w:vAlign w:val="bottom"/>
            <w:hideMark/>
          </w:tcPr>
          <w:p w14:paraId="0795BE28"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Electroweak Tau convener</w:t>
            </w:r>
          </w:p>
        </w:tc>
        <w:tc>
          <w:tcPr>
            <w:tcW w:w="717" w:type="dxa"/>
            <w:tcBorders>
              <w:top w:val="nil"/>
              <w:left w:val="single" w:sz="4" w:space="0" w:color="auto"/>
              <w:bottom w:val="nil"/>
              <w:right w:val="single" w:sz="4" w:space="0" w:color="auto"/>
            </w:tcBorders>
            <w:shd w:val="clear" w:color="auto" w:fill="auto"/>
            <w:noWrap/>
            <w:vAlign w:val="bottom"/>
            <w:hideMark/>
          </w:tcPr>
          <w:p w14:paraId="7A611ECD"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4A354BC5"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22940676"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23C8A76C"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MSSM Neutral Higgs CMS convener in the LHC Higgs Cross Section group</w:t>
            </w:r>
          </w:p>
        </w:tc>
        <w:tc>
          <w:tcPr>
            <w:tcW w:w="717" w:type="dxa"/>
            <w:tcBorders>
              <w:top w:val="nil"/>
              <w:left w:val="single" w:sz="4" w:space="0" w:color="auto"/>
              <w:bottom w:val="nil"/>
              <w:right w:val="single" w:sz="4" w:space="0" w:color="auto"/>
            </w:tcBorders>
            <w:shd w:val="clear" w:color="auto" w:fill="auto"/>
            <w:noWrap/>
            <w:vAlign w:val="bottom"/>
            <w:hideMark/>
          </w:tcPr>
          <w:p w14:paraId="173E404B"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2BE11948"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79A8AC30"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56E2B5A8"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Tau Physics Object convener (L2 position in Physics)</w:t>
            </w:r>
          </w:p>
        </w:tc>
        <w:tc>
          <w:tcPr>
            <w:tcW w:w="717" w:type="dxa"/>
            <w:tcBorders>
              <w:top w:val="nil"/>
              <w:left w:val="single" w:sz="4" w:space="0" w:color="auto"/>
              <w:bottom w:val="nil"/>
              <w:right w:val="single" w:sz="4" w:space="0" w:color="auto"/>
            </w:tcBorders>
            <w:shd w:val="clear" w:color="auto" w:fill="auto"/>
            <w:noWrap/>
            <w:vAlign w:val="bottom"/>
            <w:hideMark/>
          </w:tcPr>
          <w:p w14:paraId="40D0F8AF"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425A28AB"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7593B279"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3E32CB8F"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59D7AECF"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61A940C0"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17D7106D"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 xml:space="preserve">T </w:t>
            </w:r>
            <w:proofErr w:type="spellStart"/>
            <w:r w:rsidRPr="00156FAC">
              <w:rPr>
                <w:rFonts w:ascii="Times New Roman" w:eastAsia="Times New Roman" w:hAnsi="Times New Roman" w:cs="Times New Roman"/>
                <w:sz w:val="20"/>
                <w:szCs w:val="20"/>
              </w:rPr>
              <w:t>Virdee</w:t>
            </w:r>
            <w:proofErr w:type="spellEnd"/>
          </w:p>
        </w:tc>
        <w:tc>
          <w:tcPr>
            <w:tcW w:w="5670" w:type="dxa"/>
            <w:tcBorders>
              <w:top w:val="nil"/>
              <w:left w:val="single" w:sz="4" w:space="0" w:color="auto"/>
              <w:bottom w:val="nil"/>
              <w:right w:val="single" w:sz="4" w:space="0" w:color="auto"/>
            </w:tcBorders>
            <w:shd w:val="clear" w:color="auto" w:fill="auto"/>
            <w:noWrap/>
            <w:vAlign w:val="bottom"/>
            <w:hideMark/>
          </w:tcPr>
          <w:p w14:paraId="309DD315"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Management Board member</w:t>
            </w:r>
          </w:p>
        </w:tc>
        <w:tc>
          <w:tcPr>
            <w:tcW w:w="717" w:type="dxa"/>
            <w:tcBorders>
              <w:top w:val="nil"/>
              <w:left w:val="single" w:sz="4" w:space="0" w:color="auto"/>
              <w:bottom w:val="nil"/>
              <w:right w:val="single" w:sz="4" w:space="0" w:color="auto"/>
            </w:tcBorders>
            <w:shd w:val="clear" w:color="auto" w:fill="auto"/>
            <w:noWrap/>
            <w:vAlign w:val="bottom"/>
            <w:hideMark/>
          </w:tcPr>
          <w:p w14:paraId="6932EC89"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L1</w:t>
            </w:r>
          </w:p>
        </w:tc>
      </w:tr>
      <w:tr w:rsidR="00156FAC" w:rsidRPr="00156FAC" w14:paraId="580B818C"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3525DEB1"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08DCF715"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Collaboration Board member</w:t>
            </w:r>
          </w:p>
        </w:tc>
        <w:tc>
          <w:tcPr>
            <w:tcW w:w="717" w:type="dxa"/>
            <w:tcBorders>
              <w:top w:val="nil"/>
              <w:left w:val="single" w:sz="4" w:space="0" w:color="auto"/>
              <w:bottom w:val="nil"/>
              <w:right w:val="single" w:sz="4" w:space="0" w:color="auto"/>
            </w:tcBorders>
            <w:shd w:val="clear" w:color="auto" w:fill="auto"/>
            <w:noWrap/>
            <w:vAlign w:val="bottom"/>
            <w:hideMark/>
          </w:tcPr>
          <w:p w14:paraId="2C79CF1E"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L1</w:t>
            </w:r>
          </w:p>
        </w:tc>
      </w:tr>
      <w:tr w:rsidR="00156FAC" w:rsidRPr="00156FAC" w14:paraId="5BCD93B3"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4C75B4EB"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5AAA8C23"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Higgs Analysis Review Committee chair</w:t>
            </w:r>
          </w:p>
        </w:tc>
        <w:tc>
          <w:tcPr>
            <w:tcW w:w="717" w:type="dxa"/>
            <w:tcBorders>
              <w:top w:val="nil"/>
              <w:left w:val="single" w:sz="4" w:space="0" w:color="auto"/>
              <w:bottom w:val="nil"/>
              <w:right w:val="single" w:sz="4" w:space="0" w:color="auto"/>
            </w:tcBorders>
            <w:shd w:val="clear" w:color="auto" w:fill="auto"/>
            <w:noWrap/>
            <w:vAlign w:val="bottom"/>
            <w:hideMark/>
          </w:tcPr>
          <w:p w14:paraId="2FA804D1"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2EF4B986"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78A828B1"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662E195E"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5DD4274E"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71FC4E20"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7D7E0984"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S Wakefield</w:t>
            </w:r>
          </w:p>
        </w:tc>
        <w:tc>
          <w:tcPr>
            <w:tcW w:w="5670" w:type="dxa"/>
            <w:tcBorders>
              <w:top w:val="nil"/>
              <w:left w:val="single" w:sz="4" w:space="0" w:color="auto"/>
              <w:bottom w:val="nil"/>
              <w:right w:val="single" w:sz="4" w:space="0" w:color="auto"/>
            </w:tcBorders>
            <w:shd w:val="clear" w:color="auto" w:fill="auto"/>
            <w:noWrap/>
            <w:vAlign w:val="bottom"/>
            <w:hideMark/>
          </w:tcPr>
          <w:p w14:paraId="674003DD"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computing L3 manager</w:t>
            </w:r>
          </w:p>
        </w:tc>
        <w:tc>
          <w:tcPr>
            <w:tcW w:w="717" w:type="dxa"/>
            <w:tcBorders>
              <w:top w:val="nil"/>
              <w:left w:val="single" w:sz="4" w:space="0" w:color="auto"/>
              <w:bottom w:val="nil"/>
              <w:right w:val="single" w:sz="4" w:space="0" w:color="auto"/>
            </w:tcBorders>
            <w:shd w:val="clear" w:color="auto" w:fill="auto"/>
            <w:noWrap/>
            <w:vAlign w:val="bottom"/>
            <w:hideMark/>
          </w:tcPr>
          <w:p w14:paraId="5F94FEB5"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3FAB9277"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774E22CC"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0B99F202"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31C07740"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77AFC84B"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341EAC42" w14:textId="77777777" w:rsidR="00156FAC" w:rsidRPr="00156FAC" w:rsidRDefault="00156FAC" w:rsidP="00156FAC">
            <w:pPr>
              <w:spacing w:after="0"/>
              <w:rPr>
                <w:rFonts w:ascii="Times New Roman" w:eastAsia="Times New Roman" w:hAnsi="Times New Roman" w:cs="Times New Roman"/>
                <w:b/>
                <w:bCs/>
                <w:sz w:val="20"/>
                <w:szCs w:val="20"/>
              </w:rPr>
            </w:pPr>
            <w:r w:rsidRPr="00156FAC">
              <w:rPr>
                <w:rFonts w:ascii="Times New Roman" w:eastAsia="Times New Roman" w:hAnsi="Times New Roman" w:cs="Times New Roman"/>
                <w:b/>
                <w:bCs/>
                <w:sz w:val="20"/>
                <w:szCs w:val="20"/>
              </w:rPr>
              <w:t>RAL PPD</w:t>
            </w:r>
          </w:p>
        </w:tc>
        <w:tc>
          <w:tcPr>
            <w:tcW w:w="5670" w:type="dxa"/>
            <w:tcBorders>
              <w:top w:val="nil"/>
              <w:left w:val="single" w:sz="4" w:space="0" w:color="auto"/>
              <w:bottom w:val="nil"/>
              <w:right w:val="single" w:sz="4" w:space="0" w:color="auto"/>
            </w:tcBorders>
            <w:shd w:val="clear" w:color="auto" w:fill="auto"/>
            <w:noWrap/>
            <w:vAlign w:val="bottom"/>
            <w:hideMark/>
          </w:tcPr>
          <w:p w14:paraId="17C32F54" w14:textId="77777777" w:rsidR="00156FAC" w:rsidRPr="00156FAC" w:rsidRDefault="00156FAC" w:rsidP="00156FAC">
            <w:pPr>
              <w:spacing w:after="0"/>
              <w:rPr>
                <w:rFonts w:ascii="Times New Roman" w:eastAsia="Times New Roman" w:hAnsi="Times New Roman" w:cs="Times New Roman"/>
                <w:b/>
                <w:bCs/>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09395648"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31C228D6"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2DA3D1AB"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KW Bell</w:t>
            </w:r>
          </w:p>
        </w:tc>
        <w:tc>
          <w:tcPr>
            <w:tcW w:w="5670" w:type="dxa"/>
            <w:tcBorders>
              <w:top w:val="nil"/>
              <w:left w:val="single" w:sz="4" w:space="0" w:color="auto"/>
              <w:bottom w:val="nil"/>
              <w:right w:val="single" w:sz="4" w:space="0" w:color="auto"/>
            </w:tcBorders>
            <w:shd w:val="clear" w:color="auto" w:fill="auto"/>
            <w:noWrap/>
            <w:vAlign w:val="bottom"/>
            <w:hideMark/>
          </w:tcPr>
          <w:p w14:paraId="00AF60AC"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ECAL Project: field technical coordinator</w:t>
            </w:r>
          </w:p>
        </w:tc>
        <w:tc>
          <w:tcPr>
            <w:tcW w:w="717" w:type="dxa"/>
            <w:tcBorders>
              <w:top w:val="nil"/>
              <w:left w:val="single" w:sz="4" w:space="0" w:color="auto"/>
              <w:bottom w:val="nil"/>
              <w:right w:val="single" w:sz="4" w:space="0" w:color="auto"/>
            </w:tcBorders>
            <w:shd w:val="clear" w:color="auto" w:fill="auto"/>
            <w:noWrap/>
            <w:vAlign w:val="bottom"/>
            <w:hideMark/>
          </w:tcPr>
          <w:p w14:paraId="4EFF4335"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391A7704"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00A578C1"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671643E0"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ECAL Project:  Run coordinator</w:t>
            </w:r>
          </w:p>
        </w:tc>
        <w:tc>
          <w:tcPr>
            <w:tcW w:w="717" w:type="dxa"/>
            <w:tcBorders>
              <w:top w:val="nil"/>
              <w:left w:val="single" w:sz="4" w:space="0" w:color="auto"/>
              <w:bottom w:val="nil"/>
              <w:right w:val="single" w:sz="4" w:space="0" w:color="auto"/>
            </w:tcBorders>
            <w:shd w:val="clear" w:color="auto" w:fill="auto"/>
            <w:noWrap/>
            <w:vAlign w:val="bottom"/>
            <w:hideMark/>
          </w:tcPr>
          <w:p w14:paraId="3F158EF7"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495430DD"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4754B3C3"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17811B7B"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Member ECAL Steering Committee</w:t>
            </w:r>
          </w:p>
        </w:tc>
        <w:tc>
          <w:tcPr>
            <w:tcW w:w="717" w:type="dxa"/>
            <w:tcBorders>
              <w:top w:val="nil"/>
              <w:left w:val="single" w:sz="4" w:space="0" w:color="auto"/>
              <w:bottom w:val="nil"/>
              <w:right w:val="single" w:sz="4" w:space="0" w:color="auto"/>
            </w:tcBorders>
            <w:shd w:val="clear" w:color="auto" w:fill="auto"/>
            <w:noWrap/>
            <w:vAlign w:val="bottom"/>
            <w:hideMark/>
          </w:tcPr>
          <w:p w14:paraId="7F9319DD"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6C1A4600"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3DE3789C"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5A96C8D8"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5CEC30D5"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74D7854B"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46FC5A0C"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 Brew</w:t>
            </w:r>
          </w:p>
        </w:tc>
        <w:tc>
          <w:tcPr>
            <w:tcW w:w="5670" w:type="dxa"/>
            <w:tcBorders>
              <w:top w:val="nil"/>
              <w:left w:val="single" w:sz="4" w:space="0" w:color="auto"/>
              <w:bottom w:val="nil"/>
              <w:right w:val="single" w:sz="4" w:space="0" w:color="auto"/>
            </w:tcBorders>
            <w:shd w:val="clear" w:color="auto" w:fill="auto"/>
            <w:noWrap/>
            <w:vAlign w:val="bottom"/>
            <w:hideMark/>
          </w:tcPr>
          <w:p w14:paraId="5A175580"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Computing Facilities/Infrastructure Operations: Tier-1 coordinator</w:t>
            </w:r>
          </w:p>
        </w:tc>
        <w:tc>
          <w:tcPr>
            <w:tcW w:w="717" w:type="dxa"/>
            <w:tcBorders>
              <w:top w:val="nil"/>
              <w:left w:val="single" w:sz="4" w:space="0" w:color="auto"/>
              <w:bottom w:val="nil"/>
              <w:right w:val="single" w:sz="4" w:space="0" w:color="auto"/>
            </w:tcBorders>
            <w:shd w:val="clear" w:color="auto" w:fill="auto"/>
            <w:noWrap/>
            <w:vAlign w:val="bottom"/>
            <w:hideMark/>
          </w:tcPr>
          <w:p w14:paraId="196C8FDB"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361B43FB"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0B218C0E"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2106A7AA"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16A43F40"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3729816A"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4F0BC3D5"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RM Brown</w:t>
            </w:r>
          </w:p>
        </w:tc>
        <w:tc>
          <w:tcPr>
            <w:tcW w:w="5670" w:type="dxa"/>
            <w:tcBorders>
              <w:top w:val="nil"/>
              <w:left w:val="single" w:sz="4" w:space="0" w:color="auto"/>
              <w:bottom w:val="nil"/>
              <w:right w:val="single" w:sz="4" w:space="0" w:color="auto"/>
            </w:tcBorders>
            <w:shd w:val="clear" w:color="auto" w:fill="auto"/>
            <w:noWrap/>
            <w:vAlign w:val="bottom"/>
            <w:hideMark/>
          </w:tcPr>
          <w:p w14:paraId="11649F71"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Member CMS Publication Committee</w:t>
            </w:r>
          </w:p>
        </w:tc>
        <w:tc>
          <w:tcPr>
            <w:tcW w:w="717" w:type="dxa"/>
            <w:tcBorders>
              <w:top w:val="nil"/>
              <w:left w:val="single" w:sz="4" w:space="0" w:color="auto"/>
              <w:bottom w:val="nil"/>
              <w:right w:val="single" w:sz="4" w:space="0" w:color="auto"/>
            </w:tcBorders>
            <w:shd w:val="clear" w:color="auto" w:fill="auto"/>
            <w:noWrap/>
            <w:vAlign w:val="bottom"/>
            <w:hideMark/>
          </w:tcPr>
          <w:p w14:paraId="70C45623"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77D3B451"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4E568D5C"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6979D1B2"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Chair CMS Exotica Editorial Board</w:t>
            </w:r>
          </w:p>
        </w:tc>
        <w:tc>
          <w:tcPr>
            <w:tcW w:w="717" w:type="dxa"/>
            <w:tcBorders>
              <w:top w:val="nil"/>
              <w:left w:val="single" w:sz="4" w:space="0" w:color="auto"/>
              <w:bottom w:val="nil"/>
              <w:right w:val="single" w:sz="4" w:space="0" w:color="auto"/>
            </w:tcBorders>
            <w:shd w:val="clear" w:color="auto" w:fill="auto"/>
            <w:noWrap/>
            <w:vAlign w:val="bottom"/>
            <w:hideMark/>
          </w:tcPr>
          <w:p w14:paraId="0654A1E6"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2CB62FD0"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0FB982DE"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5ADE4767"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Member of ECAL Joint Institution and Finance Board</w:t>
            </w:r>
          </w:p>
        </w:tc>
        <w:tc>
          <w:tcPr>
            <w:tcW w:w="717" w:type="dxa"/>
            <w:tcBorders>
              <w:top w:val="nil"/>
              <w:left w:val="single" w:sz="4" w:space="0" w:color="auto"/>
              <w:bottom w:val="nil"/>
              <w:right w:val="single" w:sz="4" w:space="0" w:color="auto"/>
            </w:tcBorders>
            <w:shd w:val="clear" w:color="auto" w:fill="auto"/>
            <w:noWrap/>
            <w:vAlign w:val="bottom"/>
            <w:hideMark/>
          </w:tcPr>
          <w:p w14:paraId="154900F3"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62423922"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6455079E"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2D12160F"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55060031"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1A827C7B"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2196A552"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 xml:space="preserve">D.J.A. </w:t>
            </w:r>
            <w:proofErr w:type="spellStart"/>
            <w:r w:rsidRPr="00156FAC">
              <w:rPr>
                <w:rFonts w:ascii="Times New Roman" w:eastAsia="Times New Roman" w:hAnsi="Times New Roman" w:cs="Times New Roman"/>
                <w:sz w:val="20"/>
                <w:szCs w:val="20"/>
              </w:rPr>
              <w:t>Cockerill</w:t>
            </w:r>
            <w:proofErr w:type="spellEnd"/>
            <w:r w:rsidRPr="00156FAC">
              <w:rPr>
                <w:rFonts w:ascii="Times New Roman" w:eastAsia="Times New Roman" w:hAnsi="Times New Roman" w:cs="Times New Roman"/>
                <w:sz w:val="20"/>
                <w:szCs w:val="20"/>
              </w:rPr>
              <w:t xml:space="preserve"> </w:t>
            </w:r>
          </w:p>
        </w:tc>
        <w:tc>
          <w:tcPr>
            <w:tcW w:w="5670" w:type="dxa"/>
            <w:tcBorders>
              <w:top w:val="nil"/>
              <w:left w:val="single" w:sz="4" w:space="0" w:color="auto"/>
              <w:bottom w:val="nil"/>
              <w:right w:val="single" w:sz="4" w:space="0" w:color="auto"/>
            </w:tcBorders>
            <w:shd w:val="clear" w:color="auto" w:fill="auto"/>
            <w:noWrap/>
            <w:vAlign w:val="bottom"/>
            <w:hideMark/>
          </w:tcPr>
          <w:p w14:paraId="2B50F7B5"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 xml:space="preserve">ECAL Project: </w:t>
            </w:r>
            <w:proofErr w:type="spellStart"/>
            <w:r w:rsidRPr="00156FAC">
              <w:rPr>
                <w:rFonts w:ascii="Times New Roman" w:eastAsia="Times New Roman" w:hAnsi="Times New Roman" w:cs="Times New Roman"/>
                <w:sz w:val="20"/>
                <w:szCs w:val="20"/>
              </w:rPr>
              <w:t>endcap</w:t>
            </w:r>
            <w:proofErr w:type="spellEnd"/>
            <w:r w:rsidRPr="00156FAC">
              <w:rPr>
                <w:rFonts w:ascii="Times New Roman" w:eastAsia="Times New Roman" w:hAnsi="Times New Roman" w:cs="Times New Roman"/>
                <w:sz w:val="20"/>
                <w:szCs w:val="20"/>
              </w:rPr>
              <w:t xml:space="preserve"> project manager</w:t>
            </w:r>
          </w:p>
        </w:tc>
        <w:tc>
          <w:tcPr>
            <w:tcW w:w="717" w:type="dxa"/>
            <w:tcBorders>
              <w:top w:val="nil"/>
              <w:left w:val="single" w:sz="4" w:space="0" w:color="auto"/>
              <w:bottom w:val="nil"/>
              <w:right w:val="single" w:sz="4" w:space="0" w:color="auto"/>
            </w:tcBorders>
            <w:shd w:val="clear" w:color="auto" w:fill="auto"/>
            <w:noWrap/>
            <w:vAlign w:val="bottom"/>
            <w:hideMark/>
          </w:tcPr>
          <w:p w14:paraId="77ABF27C"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L1</w:t>
            </w:r>
          </w:p>
        </w:tc>
      </w:tr>
      <w:tr w:rsidR="00156FAC" w:rsidRPr="00156FAC" w14:paraId="1198C675"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1AEE30DC"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3ED527E9"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Member ECAL Steering Committee</w:t>
            </w:r>
          </w:p>
        </w:tc>
        <w:tc>
          <w:tcPr>
            <w:tcW w:w="717" w:type="dxa"/>
            <w:tcBorders>
              <w:top w:val="nil"/>
              <w:left w:val="single" w:sz="4" w:space="0" w:color="auto"/>
              <w:bottom w:val="nil"/>
              <w:right w:val="single" w:sz="4" w:space="0" w:color="auto"/>
            </w:tcBorders>
            <w:shd w:val="clear" w:color="auto" w:fill="auto"/>
            <w:noWrap/>
            <w:vAlign w:val="bottom"/>
            <w:hideMark/>
          </w:tcPr>
          <w:p w14:paraId="5F6A71B3"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063EF7D0"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2D023598"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48CEDFCF"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Member ECAL Conference Committee</w:t>
            </w:r>
          </w:p>
        </w:tc>
        <w:tc>
          <w:tcPr>
            <w:tcW w:w="717" w:type="dxa"/>
            <w:tcBorders>
              <w:top w:val="nil"/>
              <w:left w:val="single" w:sz="4" w:space="0" w:color="auto"/>
              <w:bottom w:val="nil"/>
              <w:right w:val="single" w:sz="4" w:space="0" w:color="auto"/>
            </w:tcBorders>
            <w:shd w:val="clear" w:color="auto" w:fill="auto"/>
            <w:noWrap/>
            <w:vAlign w:val="bottom"/>
            <w:hideMark/>
          </w:tcPr>
          <w:p w14:paraId="4519B4EE"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5437A9EC"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38B5A8E0"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2C1C69B3"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 xml:space="preserve">ECAL Project: </w:t>
            </w:r>
            <w:proofErr w:type="spellStart"/>
            <w:r w:rsidRPr="00156FAC">
              <w:rPr>
                <w:rFonts w:ascii="Times New Roman" w:eastAsia="Times New Roman" w:hAnsi="Times New Roman" w:cs="Times New Roman"/>
                <w:sz w:val="20"/>
                <w:szCs w:val="20"/>
              </w:rPr>
              <w:t>endcap</w:t>
            </w:r>
            <w:proofErr w:type="spellEnd"/>
            <w:r w:rsidRPr="00156FAC">
              <w:rPr>
                <w:rFonts w:ascii="Times New Roman" w:eastAsia="Times New Roman" w:hAnsi="Times New Roman" w:cs="Times New Roman"/>
                <w:sz w:val="20"/>
                <w:szCs w:val="20"/>
              </w:rPr>
              <w:t xml:space="preserve"> performance and stability working group chair</w:t>
            </w:r>
          </w:p>
        </w:tc>
        <w:tc>
          <w:tcPr>
            <w:tcW w:w="717" w:type="dxa"/>
            <w:tcBorders>
              <w:top w:val="nil"/>
              <w:left w:val="single" w:sz="4" w:space="0" w:color="auto"/>
              <w:bottom w:val="nil"/>
              <w:right w:val="single" w:sz="4" w:space="0" w:color="auto"/>
            </w:tcBorders>
            <w:shd w:val="clear" w:color="auto" w:fill="auto"/>
            <w:noWrap/>
            <w:vAlign w:val="bottom"/>
            <w:hideMark/>
          </w:tcPr>
          <w:p w14:paraId="4D5515F1"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3C77EB74"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767EA7BC"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73F5D1CD"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ECAL Publication Board Chair</w:t>
            </w:r>
          </w:p>
        </w:tc>
        <w:tc>
          <w:tcPr>
            <w:tcW w:w="717" w:type="dxa"/>
            <w:tcBorders>
              <w:top w:val="nil"/>
              <w:left w:val="single" w:sz="4" w:space="0" w:color="auto"/>
              <w:bottom w:val="nil"/>
              <w:right w:val="single" w:sz="4" w:space="0" w:color="auto"/>
            </w:tcBorders>
            <w:shd w:val="clear" w:color="auto" w:fill="auto"/>
            <w:noWrap/>
            <w:vAlign w:val="bottom"/>
            <w:hideMark/>
          </w:tcPr>
          <w:p w14:paraId="6D8FB0A0"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4CCD2F1B"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5F908865"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46CD80EE"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7C07A837"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22079E7C"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7694F2A6"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N Geddes (STFC)</w:t>
            </w:r>
          </w:p>
        </w:tc>
        <w:tc>
          <w:tcPr>
            <w:tcW w:w="5670" w:type="dxa"/>
            <w:tcBorders>
              <w:top w:val="nil"/>
              <w:left w:val="single" w:sz="4" w:space="0" w:color="auto"/>
              <w:bottom w:val="nil"/>
              <w:right w:val="single" w:sz="4" w:space="0" w:color="auto"/>
            </w:tcBorders>
            <w:shd w:val="clear" w:color="auto" w:fill="auto"/>
            <w:noWrap/>
            <w:vAlign w:val="bottom"/>
            <w:hideMark/>
          </w:tcPr>
          <w:p w14:paraId="4B2DD452"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Computing Resource Board chair</w:t>
            </w:r>
          </w:p>
        </w:tc>
        <w:tc>
          <w:tcPr>
            <w:tcW w:w="717" w:type="dxa"/>
            <w:tcBorders>
              <w:top w:val="nil"/>
              <w:left w:val="single" w:sz="4" w:space="0" w:color="auto"/>
              <w:bottom w:val="nil"/>
              <w:right w:val="single" w:sz="4" w:space="0" w:color="auto"/>
            </w:tcBorders>
            <w:shd w:val="clear" w:color="auto" w:fill="auto"/>
            <w:noWrap/>
            <w:vAlign w:val="bottom"/>
            <w:hideMark/>
          </w:tcPr>
          <w:p w14:paraId="3A56765D"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0B8FC18C"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1957C694"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5769D2D6"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185EE54F"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4E6B80B6"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2500D407"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K Harder</w:t>
            </w:r>
          </w:p>
        </w:tc>
        <w:tc>
          <w:tcPr>
            <w:tcW w:w="5670" w:type="dxa"/>
            <w:tcBorders>
              <w:top w:val="nil"/>
              <w:left w:val="single" w:sz="4" w:space="0" w:color="auto"/>
              <w:bottom w:val="nil"/>
              <w:right w:val="single" w:sz="4" w:space="0" w:color="auto"/>
            </w:tcBorders>
            <w:shd w:val="clear" w:color="auto" w:fill="auto"/>
            <w:noWrap/>
            <w:vAlign w:val="bottom"/>
            <w:hideMark/>
          </w:tcPr>
          <w:p w14:paraId="2BD2E4EA"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Member Tracker Institution Board Member</w:t>
            </w:r>
          </w:p>
        </w:tc>
        <w:tc>
          <w:tcPr>
            <w:tcW w:w="717" w:type="dxa"/>
            <w:tcBorders>
              <w:top w:val="nil"/>
              <w:left w:val="single" w:sz="4" w:space="0" w:color="auto"/>
              <w:bottom w:val="nil"/>
              <w:right w:val="single" w:sz="4" w:space="0" w:color="auto"/>
            </w:tcBorders>
            <w:shd w:val="clear" w:color="auto" w:fill="auto"/>
            <w:noWrap/>
            <w:vAlign w:val="bottom"/>
            <w:hideMark/>
          </w:tcPr>
          <w:p w14:paraId="4C82BBCD"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5B0754D0"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0D35ACC6"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5F31D58F"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04195610"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505F7C99"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434DA7D3"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S Harper</w:t>
            </w:r>
          </w:p>
        </w:tc>
        <w:tc>
          <w:tcPr>
            <w:tcW w:w="5670" w:type="dxa"/>
            <w:tcBorders>
              <w:top w:val="nil"/>
              <w:left w:val="single" w:sz="4" w:space="0" w:color="auto"/>
              <w:bottom w:val="nil"/>
              <w:right w:val="single" w:sz="4" w:space="0" w:color="auto"/>
            </w:tcBorders>
            <w:shd w:val="clear" w:color="auto" w:fill="auto"/>
            <w:noWrap/>
            <w:vAlign w:val="bottom"/>
            <w:hideMark/>
          </w:tcPr>
          <w:p w14:paraId="152C1196"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Exotics Trigger Convenor</w:t>
            </w:r>
          </w:p>
        </w:tc>
        <w:tc>
          <w:tcPr>
            <w:tcW w:w="717" w:type="dxa"/>
            <w:tcBorders>
              <w:top w:val="nil"/>
              <w:left w:val="single" w:sz="4" w:space="0" w:color="auto"/>
              <w:bottom w:val="nil"/>
              <w:right w:val="single" w:sz="4" w:space="0" w:color="auto"/>
            </w:tcBorders>
            <w:shd w:val="clear" w:color="auto" w:fill="auto"/>
            <w:noWrap/>
            <w:vAlign w:val="bottom"/>
            <w:hideMark/>
          </w:tcPr>
          <w:p w14:paraId="08F594F0"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451946E0"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7A3BE95F"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6774E203"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Exotica Physics Analysis Group: Convenor Exotic Resonances Group</w:t>
            </w:r>
          </w:p>
        </w:tc>
        <w:tc>
          <w:tcPr>
            <w:tcW w:w="717" w:type="dxa"/>
            <w:tcBorders>
              <w:top w:val="nil"/>
              <w:left w:val="single" w:sz="4" w:space="0" w:color="auto"/>
              <w:bottom w:val="nil"/>
              <w:right w:val="single" w:sz="4" w:space="0" w:color="auto"/>
            </w:tcBorders>
            <w:shd w:val="clear" w:color="auto" w:fill="auto"/>
            <w:noWrap/>
            <w:vAlign w:val="bottom"/>
            <w:hideMark/>
          </w:tcPr>
          <w:p w14:paraId="0EE367FE"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5967CE85"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75C0E3C7"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03EF326C"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E/gamma Physics Object Group Trigger Coordinator</w:t>
            </w:r>
          </w:p>
        </w:tc>
        <w:tc>
          <w:tcPr>
            <w:tcW w:w="717" w:type="dxa"/>
            <w:tcBorders>
              <w:top w:val="nil"/>
              <w:left w:val="single" w:sz="4" w:space="0" w:color="auto"/>
              <w:bottom w:val="nil"/>
              <w:right w:val="single" w:sz="4" w:space="0" w:color="auto"/>
            </w:tcBorders>
            <w:shd w:val="clear" w:color="auto" w:fill="auto"/>
            <w:noWrap/>
            <w:vAlign w:val="bottom"/>
            <w:hideMark/>
          </w:tcPr>
          <w:p w14:paraId="3A047E23"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2543C261"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7E6A9AEE"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5AC69BC3"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46FAF988"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4CF1A2B0"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3384D343"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J Hill (RAL ED)</w:t>
            </w:r>
          </w:p>
        </w:tc>
        <w:tc>
          <w:tcPr>
            <w:tcW w:w="5670" w:type="dxa"/>
            <w:tcBorders>
              <w:top w:val="nil"/>
              <w:left w:val="single" w:sz="4" w:space="0" w:color="auto"/>
              <w:bottom w:val="nil"/>
              <w:right w:val="single" w:sz="4" w:space="0" w:color="auto"/>
            </w:tcBorders>
            <w:shd w:val="clear" w:color="auto" w:fill="auto"/>
            <w:noWrap/>
            <w:vAlign w:val="bottom"/>
            <w:hideMark/>
          </w:tcPr>
          <w:p w14:paraId="09A98AE2"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 xml:space="preserve">ECAL Project: </w:t>
            </w:r>
            <w:proofErr w:type="spellStart"/>
            <w:r w:rsidRPr="00156FAC">
              <w:rPr>
                <w:rFonts w:ascii="Times New Roman" w:eastAsia="Times New Roman" w:hAnsi="Times New Roman" w:cs="Times New Roman"/>
                <w:sz w:val="20"/>
                <w:szCs w:val="20"/>
              </w:rPr>
              <w:t>endcap</w:t>
            </w:r>
            <w:proofErr w:type="spellEnd"/>
            <w:r w:rsidRPr="00156FAC">
              <w:rPr>
                <w:rFonts w:ascii="Times New Roman" w:eastAsia="Times New Roman" w:hAnsi="Times New Roman" w:cs="Times New Roman"/>
                <w:sz w:val="20"/>
                <w:szCs w:val="20"/>
              </w:rPr>
              <w:t xml:space="preserve"> project engineer</w:t>
            </w:r>
          </w:p>
        </w:tc>
        <w:tc>
          <w:tcPr>
            <w:tcW w:w="717" w:type="dxa"/>
            <w:tcBorders>
              <w:top w:val="nil"/>
              <w:left w:val="single" w:sz="4" w:space="0" w:color="auto"/>
              <w:bottom w:val="nil"/>
              <w:right w:val="single" w:sz="4" w:space="0" w:color="auto"/>
            </w:tcBorders>
            <w:shd w:val="clear" w:color="auto" w:fill="auto"/>
            <w:noWrap/>
            <w:vAlign w:val="bottom"/>
            <w:hideMark/>
          </w:tcPr>
          <w:p w14:paraId="1BEC226E"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7F3438D0"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6CFB13C6"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77328AF6"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3F92D64E"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0AC28F0D"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11747289"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 xml:space="preserve">A </w:t>
            </w:r>
            <w:proofErr w:type="spellStart"/>
            <w:r w:rsidRPr="00156FAC">
              <w:rPr>
                <w:rFonts w:ascii="Times New Roman" w:eastAsia="Times New Roman" w:hAnsi="Times New Roman" w:cs="Times New Roman"/>
                <w:sz w:val="20"/>
                <w:szCs w:val="20"/>
              </w:rPr>
              <w:t>Lahiff</w:t>
            </w:r>
            <w:proofErr w:type="spellEnd"/>
          </w:p>
        </w:tc>
        <w:tc>
          <w:tcPr>
            <w:tcW w:w="5670" w:type="dxa"/>
            <w:tcBorders>
              <w:top w:val="nil"/>
              <w:left w:val="single" w:sz="4" w:space="0" w:color="auto"/>
              <w:bottom w:val="nil"/>
              <w:right w:val="single" w:sz="4" w:space="0" w:color="auto"/>
            </w:tcBorders>
            <w:shd w:val="clear" w:color="auto" w:fill="auto"/>
            <w:noWrap/>
            <w:vAlign w:val="bottom"/>
            <w:hideMark/>
          </w:tcPr>
          <w:p w14:paraId="3B5AA5B2"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Computing Facilities/Infrastructure Operations:  Tier-1 Processing Coordinator</w:t>
            </w:r>
          </w:p>
        </w:tc>
        <w:tc>
          <w:tcPr>
            <w:tcW w:w="717" w:type="dxa"/>
            <w:tcBorders>
              <w:top w:val="nil"/>
              <w:left w:val="single" w:sz="4" w:space="0" w:color="auto"/>
              <w:bottom w:val="nil"/>
              <w:right w:val="single" w:sz="4" w:space="0" w:color="auto"/>
            </w:tcBorders>
            <w:shd w:val="clear" w:color="auto" w:fill="auto"/>
            <w:noWrap/>
            <w:vAlign w:val="bottom"/>
            <w:hideMark/>
          </w:tcPr>
          <w:p w14:paraId="76A749AE"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70CFEA91"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64F69C7E"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63DE8582"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30D4DA85"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5A9499CB"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7366BD1A"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 xml:space="preserve">D </w:t>
            </w:r>
            <w:proofErr w:type="spellStart"/>
            <w:r w:rsidRPr="00156FAC">
              <w:rPr>
                <w:rFonts w:ascii="Times New Roman" w:eastAsia="Times New Roman" w:hAnsi="Times New Roman" w:cs="Times New Roman"/>
                <w:sz w:val="20"/>
                <w:szCs w:val="20"/>
              </w:rPr>
              <w:t>Petyt</w:t>
            </w:r>
            <w:proofErr w:type="spellEnd"/>
          </w:p>
        </w:tc>
        <w:tc>
          <w:tcPr>
            <w:tcW w:w="5670" w:type="dxa"/>
            <w:tcBorders>
              <w:top w:val="nil"/>
              <w:left w:val="single" w:sz="4" w:space="0" w:color="auto"/>
              <w:bottom w:val="nil"/>
              <w:right w:val="single" w:sz="4" w:space="0" w:color="auto"/>
            </w:tcBorders>
            <w:shd w:val="clear" w:color="auto" w:fill="auto"/>
            <w:noWrap/>
            <w:vAlign w:val="bottom"/>
            <w:hideMark/>
          </w:tcPr>
          <w:p w14:paraId="4771752C"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ECAL Project: DPG convenor</w:t>
            </w:r>
          </w:p>
        </w:tc>
        <w:tc>
          <w:tcPr>
            <w:tcW w:w="717" w:type="dxa"/>
            <w:tcBorders>
              <w:top w:val="nil"/>
              <w:left w:val="single" w:sz="4" w:space="0" w:color="auto"/>
              <w:bottom w:val="nil"/>
              <w:right w:val="single" w:sz="4" w:space="0" w:color="auto"/>
            </w:tcBorders>
            <w:shd w:val="clear" w:color="auto" w:fill="auto"/>
            <w:noWrap/>
            <w:vAlign w:val="bottom"/>
            <w:hideMark/>
          </w:tcPr>
          <w:p w14:paraId="7AA65840"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54D6DBDA"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11DCD50B"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5FE5C7BC"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Member ECAL Steering Committee</w:t>
            </w:r>
          </w:p>
        </w:tc>
        <w:tc>
          <w:tcPr>
            <w:tcW w:w="717" w:type="dxa"/>
            <w:tcBorders>
              <w:top w:val="nil"/>
              <w:left w:val="single" w:sz="4" w:space="0" w:color="auto"/>
              <w:bottom w:val="nil"/>
              <w:right w:val="single" w:sz="4" w:space="0" w:color="auto"/>
            </w:tcBorders>
            <w:shd w:val="clear" w:color="auto" w:fill="auto"/>
            <w:noWrap/>
            <w:vAlign w:val="bottom"/>
            <w:hideMark/>
          </w:tcPr>
          <w:p w14:paraId="77D58186"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6CC7DC1B"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51BD22DF"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5FEF9555"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Member ECAL Conference Committee</w:t>
            </w:r>
          </w:p>
        </w:tc>
        <w:tc>
          <w:tcPr>
            <w:tcW w:w="717" w:type="dxa"/>
            <w:tcBorders>
              <w:top w:val="nil"/>
              <w:left w:val="single" w:sz="4" w:space="0" w:color="auto"/>
              <w:bottom w:val="nil"/>
              <w:right w:val="single" w:sz="4" w:space="0" w:color="auto"/>
            </w:tcBorders>
            <w:shd w:val="clear" w:color="auto" w:fill="auto"/>
            <w:noWrap/>
            <w:vAlign w:val="bottom"/>
            <w:hideMark/>
          </w:tcPr>
          <w:p w14:paraId="22F6AFED"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7B799B46"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4A53DCD0"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0E4AEBB6"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Member ECAL Editorial Board</w:t>
            </w:r>
          </w:p>
        </w:tc>
        <w:tc>
          <w:tcPr>
            <w:tcW w:w="717" w:type="dxa"/>
            <w:tcBorders>
              <w:top w:val="nil"/>
              <w:left w:val="single" w:sz="4" w:space="0" w:color="auto"/>
              <w:bottom w:val="nil"/>
              <w:right w:val="single" w:sz="4" w:space="0" w:color="auto"/>
            </w:tcBorders>
            <w:shd w:val="clear" w:color="auto" w:fill="auto"/>
            <w:noWrap/>
            <w:vAlign w:val="bottom"/>
            <w:hideMark/>
          </w:tcPr>
          <w:p w14:paraId="44D6B20E"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1CEF00C6"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0346C49E"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4CF1A25C"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170E5C13"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44AA6854"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17FD646E"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 Shepherd-</w:t>
            </w:r>
            <w:proofErr w:type="spellStart"/>
            <w:r w:rsidRPr="00156FAC">
              <w:rPr>
                <w:rFonts w:ascii="Times New Roman" w:eastAsia="Times New Roman" w:hAnsi="Times New Roman" w:cs="Times New Roman"/>
                <w:sz w:val="20"/>
                <w:szCs w:val="20"/>
              </w:rPr>
              <w:t>Themistocleous</w:t>
            </w:r>
            <w:proofErr w:type="spellEnd"/>
          </w:p>
        </w:tc>
        <w:tc>
          <w:tcPr>
            <w:tcW w:w="5670" w:type="dxa"/>
            <w:tcBorders>
              <w:top w:val="nil"/>
              <w:left w:val="single" w:sz="4" w:space="0" w:color="auto"/>
              <w:bottom w:val="nil"/>
              <w:right w:val="single" w:sz="4" w:space="0" w:color="auto"/>
            </w:tcBorders>
            <w:shd w:val="clear" w:color="auto" w:fill="auto"/>
            <w:noWrap/>
            <w:vAlign w:val="bottom"/>
            <w:hideMark/>
          </w:tcPr>
          <w:p w14:paraId="6F0281C9"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Deputy Chair ECAL Institution and Finance Board</w:t>
            </w:r>
          </w:p>
        </w:tc>
        <w:tc>
          <w:tcPr>
            <w:tcW w:w="717" w:type="dxa"/>
            <w:tcBorders>
              <w:top w:val="nil"/>
              <w:left w:val="single" w:sz="4" w:space="0" w:color="auto"/>
              <w:bottom w:val="nil"/>
              <w:right w:val="single" w:sz="4" w:space="0" w:color="auto"/>
            </w:tcBorders>
            <w:shd w:val="clear" w:color="auto" w:fill="auto"/>
            <w:noWrap/>
            <w:vAlign w:val="bottom"/>
            <w:hideMark/>
          </w:tcPr>
          <w:p w14:paraId="205A5638"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077A2E51"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58712B04"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088C23C1"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Member of ECAL Steering Committee</w:t>
            </w:r>
          </w:p>
        </w:tc>
        <w:tc>
          <w:tcPr>
            <w:tcW w:w="717" w:type="dxa"/>
            <w:tcBorders>
              <w:top w:val="nil"/>
              <w:left w:val="single" w:sz="4" w:space="0" w:color="auto"/>
              <w:bottom w:val="nil"/>
              <w:right w:val="single" w:sz="4" w:space="0" w:color="auto"/>
            </w:tcBorders>
            <w:shd w:val="clear" w:color="auto" w:fill="auto"/>
            <w:noWrap/>
            <w:vAlign w:val="bottom"/>
            <w:hideMark/>
          </w:tcPr>
          <w:p w14:paraId="705BA948"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6AA0CE8C"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754F86E8"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06F755F1"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Member of ECAL Conference Committee</w:t>
            </w:r>
          </w:p>
        </w:tc>
        <w:tc>
          <w:tcPr>
            <w:tcW w:w="717" w:type="dxa"/>
            <w:tcBorders>
              <w:top w:val="nil"/>
              <w:left w:val="single" w:sz="4" w:space="0" w:color="auto"/>
              <w:bottom w:val="nil"/>
              <w:right w:val="single" w:sz="4" w:space="0" w:color="auto"/>
            </w:tcBorders>
            <w:shd w:val="clear" w:color="auto" w:fill="auto"/>
            <w:noWrap/>
            <w:vAlign w:val="bottom"/>
            <w:hideMark/>
          </w:tcPr>
          <w:p w14:paraId="356123A2"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3D3BBD48"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3620C2C0"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21DC1D30"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Chair CMS ECAL Finance Scrutiny Group</w:t>
            </w:r>
          </w:p>
        </w:tc>
        <w:tc>
          <w:tcPr>
            <w:tcW w:w="717" w:type="dxa"/>
            <w:tcBorders>
              <w:top w:val="nil"/>
              <w:left w:val="single" w:sz="4" w:space="0" w:color="auto"/>
              <w:bottom w:val="nil"/>
              <w:right w:val="single" w:sz="4" w:space="0" w:color="auto"/>
            </w:tcBorders>
            <w:shd w:val="clear" w:color="auto" w:fill="auto"/>
            <w:noWrap/>
            <w:vAlign w:val="bottom"/>
            <w:hideMark/>
          </w:tcPr>
          <w:p w14:paraId="2265FA30"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2EF85AB0"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37D955B0"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27B9154F"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Exotica Physics Analysis Group: Convenor Exotic Resonances Group</w:t>
            </w:r>
          </w:p>
        </w:tc>
        <w:tc>
          <w:tcPr>
            <w:tcW w:w="717" w:type="dxa"/>
            <w:tcBorders>
              <w:top w:val="nil"/>
              <w:left w:val="single" w:sz="4" w:space="0" w:color="auto"/>
              <w:bottom w:val="nil"/>
              <w:right w:val="single" w:sz="4" w:space="0" w:color="auto"/>
            </w:tcBorders>
            <w:shd w:val="clear" w:color="auto" w:fill="auto"/>
            <w:noWrap/>
            <w:vAlign w:val="bottom"/>
            <w:hideMark/>
          </w:tcPr>
          <w:p w14:paraId="1A544C1B"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00A0429F"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08BBE93C"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2BEF475D"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Exotica Physics Analysis Group:  Z'-&gt;</w:t>
            </w:r>
            <w:proofErr w:type="spellStart"/>
            <w:r w:rsidRPr="00156FAC">
              <w:rPr>
                <w:rFonts w:ascii="Times New Roman" w:eastAsia="Times New Roman" w:hAnsi="Times New Roman" w:cs="Times New Roman"/>
                <w:sz w:val="20"/>
                <w:szCs w:val="20"/>
              </w:rPr>
              <w:t>ee</w:t>
            </w:r>
            <w:proofErr w:type="spellEnd"/>
            <w:r w:rsidRPr="00156FAC">
              <w:rPr>
                <w:rFonts w:ascii="Times New Roman" w:eastAsia="Times New Roman" w:hAnsi="Times New Roman" w:cs="Times New Roman"/>
                <w:sz w:val="20"/>
                <w:szCs w:val="20"/>
              </w:rPr>
              <w:t xml:space="preserve"> subgroup coordinator</w:t>
            </w:r>
          </w:p>
        </w:tc>
        <w:tc>
          <w:tcPr>
            <w:tcW w:w="717" w:type="dxa"/>
            <w:tcBorders>
              <w:top w:val="nil"/>
              <w:left w:val="single" w:sz="4" w:space="0" w:color="auto"/>
              <w:bottom w:val="nil"/>
              <w:right w:val="single" w:sz="4" w:space="0" w:color="auto"/>
            </w:tcBorders>
            <w:shd w:val="clear" w:color="auto" w:fill="auto"/>
            <w:noWrap/>
            <w:vAlign w:val="bottom"/>
            <w:hideMark/>
          </w:tcPr>
          <w:p w14:paraId="0AEEA799"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27B462D5" w14:textId="77777777" w:rsidTr="00156FAC">
        <w:trPr>
          <w:trHeight w:val="260"/>
        </w:trPr>
        <w:tc>
          <w:tcPr>
            <w:tcW w:w="1483" w:type="dxa"/>
            <w:tcBorders>
              <w:top w:val="nil"/>
              <w:left w:val="single" w:sz="4" w:space="0" w:color="auto"/>
              <w:right w:val="single" w:sz="4" w:space="0" w:color="auto"/>
            </w:tcBorders>
            <w:shd w:val="clear" w:color="auto" w:fill="auto"/>
            <w:noWrap/>
            <w:vAlign w:val="bottom"/>
            <w:hideMark/>
          </w:tcPr>
          <w:p w14:paraId="1F287D6B"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right w:val="single" w:sz="4" w:space="0" w:color="auto"/>
            </w:tcBorders>
            <w:shd w:val="clear" w:color="auto" w:fill="auto"/>
            <w:noWrap/>
            <w:vAlign w:val="bottom"/>
            <w:hideMark/>
          </w:tcPr>
          <w:p w14:paraId="6F60396D"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right w:val="single" w:sz="4" w:space="0" w:color="auto"/>
            </w:tcBorders>
            <w:shd w:val="clear" w:color="auto" w:fill="auto"/>
            <w:noWrap/>
            <w:vAlign w:val="bottom"/>
            <w:hideMark/>
          </w:tcPr>
          <w:p w14:paraId="51BBABA3"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5CA77AFD" w14:textId="77777777" w:rsidTr="00156FAC">
        <w:trPr>
          <w:trHeight w:val="260"/>
        </w:trPr>
        <w:tc>
          <w:tcPr>
            <w:tcW w:w="1483" w:type="dxa"/>
            <w:tcBorders>
              <w:top w:val="nil"/>
              <w:left w:val="single" w:sz="4" w:space="0" w:color="auto"/>
              <w:right w:val="single" w:sz="4" w:space="0" w:color="auto"/>
            </w:tcBorders>
            <w:shd w:val="clear" w:color="auto" w:fill="auto"/>
            <w:noWrap/>
            <w:vAlign w:val="bottom"/>
            <w:hideMark/>
          </w:tcPr>
          <w:p w14:paraId="4E405E51"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 xml:space="preserve">I </w:t>
            </w:r>
            <w:proofErr w:type="spellStart"/>
            <w:r w:rsidRPr="00156FAC">
              <w:rPr>
                <w:rFonts w:ascii="Times New Roman" w:eastAsia="Times New Roman" w:hAnsi="Times New Roman" w:cs="Times New Roman"/>
                <w:sz w:val="20"/>
                <w:szCs w:val="20"/>
              </w:rPr>
              <w:t>Tomalin</w:t>
            </w:r>
            <w:proofErr w:type="spellEnd"/>
          </w:p>
        </w:tc>
        <w:tc>
          <w:tcPr>
            <w:tcW w:w="5670" w:type="dxa"/>
            <w:tcBorders>
              <w:top w:val="nil"/>
              <w:left w:val="single" w:sz="4" w:space="0" w:color="auto"/>
              <w:right w:val="single" w:sz="4" w:space="0" w:color="auto"/>
            </w:tcBorders>
            <w:shd w:val="clear" w:color="auto" w:fill="auto"/>
            <w:noWrap/>
            <w:vAlign w:val="bottom"/>
            <w:hideMark/>
          </w:tcPr>
          <w:p w14:paraId="166F3A92"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Member CMS Publication Committee</w:t>
            </w:r>
          </w:p>
        </w:tc>
        <w:tc>
          <w:tcPr>
            <w:tcW w:w="717" w:type="dxa"/>
            <w:tcBorders>
              <w:top w:val="nil"/>
              <w:left w:val="single" w:sz="4" w:space="0" w:color="auto"/>
              <w:right w:val="single" w:sz="4" w:space="0" w:color="auto"/>
            </w:tcBorders>
            <w:shd w:val="clear" w:color="auto" w:fill="auto"/>
            <w:noWrap/>
            <w:vAlign w:val="bottom"/>
            <w:hideMark/>
          </w:tcPr>
          <w:p w14:paraId="1B671543"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67307D50" w14:textId="77777777" w:rsidTr="00156FAC">
        <w:trPr>
          <w:trHeight w:val="260"/>
        </w:trPr>
        <w:tc>
          <w:tcPr>
            <w:tcW w:w="1483" w:type="dxa"/>
            <w:tcBorders>
              <w:left w:val="single" w:sz="4" w:space="0" w:color="auto"/>
              <w:bottom w:val="nil"/>
              <w:right w:val="single" w:sz="4" w:space="0" w:color="auto"/>
            </w:tcBorders>
            <w:shd w:val="clear" w:color="auto" w:fill="auto"/>
            <w:noWrap/>
            <w:vAlign w:val="bottom"/>
            <w:hideMark/>
          </w:tcPr>
          <w:p w14:paraId="202618F9"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left w:val="single" w:sz="4" w:space="0" w:color="auto"/>
              <w:bottom w:val="nil"/>
              <w:right w:val="single" w:sz="4" w:space="0" w:color="auto"/>
            </w:tcBorders>
            <w:shd w:val="clear" w:color="auto" w:fill="auto"/>
            <w:noWrap/>
            <w:vAlign w:val="bottom"/>
            <w:hideMark/>
          </w:tcPr>
          <w:p w14:paraId="7098D2DC"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Member Exotica Editorial Board</w:t>
            </w:r>
          </w:p>
        </w:tc>
        <w:tc>
          <w:tcPr>
            <w:tcW w:w="717" w:type="dxa"/>
            <w:tcBorders>
              <w:left w:val="single" w:sz="4" w:space="0" w:color="auto"/>
              <w:bottom w:val="nil"/>
              <w:right w:val="single" w:sz="4" w:space="0" w:color="auto"/>
            </w:tcBorders>
            <w:shd w:val="clear" w:color="auto" w:fill="auto"/>
            <w:noWrap/>
            <w:vAlign w:val="bottom"/>
            <w:hideMark/>
          </w:tcPr>
          <w:p w14:paraId="32FB2112"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02CC4C06"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4A4454BB"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3A736EA3"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Exotica Physics Analysis Group:  Convenor Long Lived Exotics subgroup</w:t>
            </w:r>
          </w:p>
        </w:tc>
        <w:tc>
          <w:tcPr>
            <w:tcW w:w="717" w:type="dxa"/>
            <w:tcBorders>
              <w:top w:val="nil"/>
              <w:left w:val="single" w:sz="4" w:space="0" w:color="auto"/>
              <w:bottom w:val="nil"/>
              <w:right w:val="single" w:sz="4" w:space="0" w:color="auto"/>
            </w:tcBorders>
            <w:shd w:val="clear" w:color="auto" w:fill="auto"/>
            <w:noWrap/>
            <w:vAlign w:val="bottom"/>
            <w:hideMark/>
          </w:tcPr>
          <w:p w14:paraId="2FB30B7B"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527D3F07"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728D2997"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2C817487"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nil"/>
              <w:right w:val="single" w:sz="4" w:space="0" w:color="auto"/>
            </w:tcBorders>
            <w:shd w:val="clear" w:color="auto" w:fill="auto"/>
            <w:noWrap/>
            <w:vAlign w:val="bottom"/>
            <w:hideMark/>
          </w:tcPr>
          <w:p w14:paraId="6EC68F88"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77236BBD"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29E7DBAB"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S Worm</w:t>
            </w:r>
          </w:p>
        </w:tc>
        <w:tc>
          <w:tcPr>
            <w:tcW w:w="5670" w:type="dxa"/>
            <w:tcBorders>
              <w:top w:val="nil"/>
              <w:left w:val="single" w:sz="4" w:space="0" w:color="auto"/>
              <w:bottom w:val="nil"/>
              <w:right w:val="single" w:sz="4" w:space="0" w:color="auto"/>
            </w:tcBorders>
            <w:shd w:val="clear" w:color="auto" w:fill="auto"/>
            <w:noWrap/>
            <w:vAlign w:val="bottom"/>
            <w:hideMark/>
          </w:tcPr>
          <w:p w14:paraId="3EE2E6B8"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CMS Exotica Physics Analysis Group:  Convenor Long Lived Exotics subgroup</w:t>
            </w:r>
          </w:p>
        </w:tc>
        <w:tc>
          <w:tcPr>
            <w:tcW w:w="717" w:type="dxa"/>
            <w:tcBorders>
              <w:top w:val="nil"/>
              <w:left w:val="single" w:sz="4" w:space="0" w:color="auto"/>
              <w:bottom w:val="nil"/>
              <w:right w:val="single" w:sz="4" w:space="0" w:color="auto"/>
            </w:tcBorders>
            <w:shd w:val="clear" w:color="auto" w:fill="auto"/>
            <w:noWrap/>
            <w:vAlign w:val="bottom"/>
            <w:hideMark/>
          </w:tcPr>
          <w:p w14:paraId="758B2BFC"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7DFFE519"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24E921FB"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1EC95874"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Convenor CMS Exotica Physics Analysis Group</w:t>
            </w:r>
          </w:p>
        </w:tc>
        <w:tc>
          <w:tcPr>
            <w:tcW w:w="717" w:type="dxa"/>
            <w:tcBorders>
              <w:top w:val="nil"/>
              <w:left w:val="single" w:sz="4" w:space="0" w:color="auto"/>
              <w:bottom w:val="nil"/>
              <w:right w:val="single" w:sz="4" w:space="0" w:color="auto"/>
            </w:tcBorders>
            <w:shd w:val="clear" w:color="auto" w:fill="auto"/>
            <w:noWrap/>
            <w:vAlign w:val="bottom"/>
            <w:hideMark/>
          </w:tcPr>
          <w:p w14:paraId="65EADBD2"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L2</w:t>
            </w:r>
          </w:p>
        </w:tc>
      </w:tr>
      <w:tr w:rsidR="00156FAC" w:rsidRPr="00156FAC" w14:paraId="5279C6E0" w14:textId="77777777" w:rsidTr="00156FAC">
        <w:trPr>
          <w:trHeight w:val="260"/>
        </w:trPr>
        <w:tc>
          <w:tcPr>
            <w:tcW w:w="1483" w:type="dxa"/>
            <w:tcBorders>
              <w:top w:val="nil"/>
              <w:left w:val="single" w:sz="4" w:space="0" w:color="auto"/>
              <w:bottom w:val="nil"/>
              <w:right w:val="single" w:sz="4" w:space="0" w:color="auto"/>
            </w:tcBorders>
            <w:shd w:val="clear" w:color="auto" w:fill="auto"/>
            <w:noWrap/>
            <w:vAlign w:val="bottom"/>
            <w:hideMark/>
          </w:tcPr>
          <w:p w14:paraId="5D04D9CE"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nil"/>
              <w:right w:val="single" w:sz="4" w:space="0" w:color="auto"/>
            </w:tcBorders>
            <w:shd w:val="clear" w:color="auto" w:fill="auto"/>
            <w:noWrap/>
            <w:vAlign w:val="bottom"/>
            <w:hideMark/>
          </w:tcPr>
          <w:p w14:paraId="1E249911"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Member Tracker Institution Board</w:t>
            </w:r>
          </w:p>
        </w:tc>
        <w:tc>
          <w:tcPr>
            <w:tcW w:w="717" w:type="dxa"/>
            <w:tcBorders>
              <w:top w:val="nil"/>
              <w:left w:val="single" w:sz="4" w:space="0" w:color="auto"/>
              <w:bottom w:val="nil"/>
              <w:right w:val="single" w:sz="4" w:space="0" w:color="auto"/>
            </w:tcBorders>
            <w:shd w:val="clear" w:color="auto" w:fill="auto"/>
            <w:noWrap/>
            <w:vAlign w:val="bottom"/>
            <w:hideMark/>
          </w:tcPr>
          <w:p w14:paraId="0C026217"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L3</w:t>
            </w:r>
          </w:p>
        </w:tc>
      </w:tr>
      <w:tr w:rsidR="00156FAC" w:rsidRPr="00156FAC" w14:paraId="2E458A67" w14:textId="77777777" w:rsidTr="00156FAC">
        <w:trPr>
          <w:trHeight w:val="260"/>
        </w:trPr>
        <w:tc>
          <w:tcPr>
            <w:tcW w:w="1483" w:type="dxa"/>
            <w:tcBorders>
              <w:top w:val="nil"/>
              <w:left w:val="single" w:sz="4" w:space="0" w:color="auto"/>
              <w:right w:val="single" w:sz="4" w:space="0" w:color="auto"/>
            </w:tcBorders>
            <w:shd w:val="clear" w:color="auto" w:fill="auto"/>
            <w:noWrap/>
            <w:vAlign w:val="bottom"/>
            <w:hideMark/>
          </w:tcPr>
          <w:p w14:paraId="24CF53E5"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right w:val="single" w:sz="4" w:space="0" w:color="auto"/>
            </w:tcBorders>
            <w:shd w:val="clear" w:color="auto" w:fill="auto"/>
            <w:noWrap/>
            <w:vAlign w:val="bottom"/>
            <w:hideMark/>
          </w:tcPr>
          <w:p w14:paraId="40D24DD6" w14:textId="77777777" w:rsidR="00156FAC" w:rsidRPr="00156FAC" w:rsidRDefault="00156FAC" w:rsidP="00156FAC">
            <w:pPr>
              <w:spacing w:after="0"/>
              <w:rPr>
                <w:rFonts w:ascii="Times New Roman" w:eastAsia="Times New Roman" w:hAnsi="Times New Roman" w:cs="Times New Roman"/>
                <w:sz w:val="20"/>
                <w:szCs w:val="20"/>
              </w:rPr>
            </w:pPr>
            <w:r w:rsidRPr="00156FAC">
              <w:rPr>
                <w:rFonts w:ascii="Times New Roman" w:eastAsia="Times New Roman" w:hAnsi="Times New Roman" w:cs="Times New Roman"/>
                <w:sz w:val="20"/>
                <w:szCs w:val="20"/>
              </w:rPr>
              <w:t>Reader for CMS Pixel Upgrade TDR</w:t>
            </w:r>
          </w:p>
        </w:tc>
        <w:tc>
          <w:tcPr>
            <w:tcW w:w="717" w:type="dxa"/>
            <w:tcBorders>
              <w:top w:val="nil"/>
              <w:left w:val="single" w:sz="4" w:space="0" w:color="auto"/>
              <w:right w:val="single" w:sz="4" w:space="0" w:color="auto"/>
            </w:tcBorders>
            <w:shd w:val="clear" w:color="auto" w:fill="auto"/>
            <w:noWrap/>
            <w:vAlign w:val="bottom"/>
            <w:hideMark/>
          </w:tcPr>
          <w:p w14:paraId="3E17B347" w14:textId="77777777" w:rsidR="00156FAC" w:rsidRPr="00156FAC" w:rsidRDefault="00156FAC" w:rsidP="00156FAC">
            <w:pPr>
              <w:spacing w:after="0"/>
              <w:rPr>
                <w:rFonts w:ascii="Times New Roman" w:eastAsia="Times New Roman" w:hAnsi="Times New Roman" w:cs="Times New Roman"/>
                <w:sz w:val="20"/>
                <w:szCs w:val="20"/>
              </w:rPr>
            </w:pPr>
          </w:p>
        </w:tc>
      </w:tr>
      <w:tr w:rsidR="00156FAC" w:rsidRPr="00156FAC" w14:paraId="4FFCD6C7" w14:textId="77777777" w:rsidTr="00156FAC">
        <w:trPr>
          <w:trHeight w:val="260"/>
        </w:trPr>
        <w:tc>
          <w:tcPr>
            <w:tcW w:w="1483" w:type="dxa"/>
            <w:tcBorders>
              <w:top w:val="nil"/>
              <w:left w:val="single" w:sz="4" w:space="0" w:color="auto"/>
              <w:bottom w:val="single" w:sz="4" w:space="0" w:color="auto"/>
              <w:right w:val="single" w:sz="4" w:space="0" w:color="auto"/>
            </w:tcBorders>
            <w:shd w:val="clear" w:color="auto" w:fill="auto"/>
            <w:noWrap/>
            <w:vAlign w:val="bottom"/>
            <w:hideMark/>
          </w:tcPr>
          <w:p w14:paraId="3CDB6291" w14:textId="77777777" w:rsidR="00156FAC" w:rsidRPr="00156FAC" w:rsidRDefault="00156FAC" w:rsidP="00156FAC">
            <w:pPr>
              <w:spacing w:after="0"/>
              <w:rPr>
                <w:rFonts w:ascii="Times New Roman" w:eastAsia="Times New Roman" w:hAnsi="Times New Roman" w:cs="Times New Roman"/>
                <w:sz w:val="20"/>
                <w:szCs w:val="20"/>
              </w:rPr>
            </w:pPr>
          </w:p>
        </w:tc>
        <w:tc>
          <w:tcPr>
            <w:tcW w:w="5670" w:type="dxa"/>
            <w:tcBorders>
              <w:top w:val="nil"/>
              <w:left w:val="single" w:sz="4" w:space="0" w:color="auto"/>
              <w:bottom w:val="single" w:sz="4" w:space="0" w:color="auto"/>
              <w:right w:val="single" w:sz="4" w:space="0" w:color="auto"/>
            </w:tcBorders>
            <w:shd w:val="clear" w:color="auto" w:fill="auto"/>
            <w:noWrap/>
            <w:vAlign w:val="bottom"/>
            <w:hideMark/>
          </w:tcPr>
          <w:p w14:paraId="476123A6" w14:textId="77777777" w:rsidR="00156FAC" w:rsidRPr="00156FAC" w:rsidRDefault="00156FAC" w:rsidP="00156FAC">
            <w:pPr>
              <w:spacing w:after="0"/>
              <w:rPr>
                <w:rFonts w:ascii="Times New Roman" w:eastAsia="Times New Roman" w:hAnsi="Times New Roman" w:cs="Times New Roman"/>
                <w:sz w:val="20"/>
                <w:szCs w:val="20"/>
              </w:rPr>
            </w:pPr>
          </w:p>
        </w:tc>
        <w:tc>
          <w:tcPr>
            <w:tcW w:w="717" w:type="dxa"/>
            <w:tcBorders>
              <w:top w:val="nil"/>
              <w:left w:val="single" w:sz="4" w:space="0" w:color="auto"/>
              <w:bottom w:val="single" w:sz="4" w:space="0" w:color="auto"/>
              <w:right w:val="single" w:sz="4" w:space="0" w:color="auto"/>
            </w:tcBorders>
            <w:shd w:val="clear" w:color="auto" w:fill="auto"/>
            <w:noWrap/>
            <w:vAlign w:val="bottom"/>
            <w:hideMark/>
          </w:tcPr>
          <w:p w14:paraId="73138C5E" w14:textId="77777777" w:rsidR="00156FAC" w:rsidRPr="00156FAC" w:rsidRDefault="00156FAC" w:rsidP="00156FAC">
            <w:pPr>
              <w:spacing w:after="0"/>
              <w:rPr>
                <w:rFonts w:ascii="Times New Roman" w:eastAsia="Times New Roman" w:hAnsi="Times New Roman" w:cs="Times New Roman"/>
                <w:sz w:val="20"/>
                <w:szCs w:val="20"/>
              </w:rPr>
            </w:pPr>
          </w:p>
        </w:tc>
      </w:tr>
    </w:tbl>
    <w:p w14:paraId="6065F4EF" w14:textId="77777777" w:rsidR="00156FAC" w:rsidRPr="00044483" w:rsidRDefault="00156FAC" w:rsidP="00795894">
      <w:pPr>
        <w:pStyle w:val="ListParagraph"/>
        <w:rPr>
          <w:rFonts w:cstheme="minorHAnsi"/>
          <w:sz w:val="22"/>
          <w:szCs w:val="22"/>
        </w:rPr>
      </w:pPr>
    </w:p>
    <w:sectPr w:rsidR="00156FAC" w:rsidRPr="00044483">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5B1C22" w14:textId="77777777" w:rsidR="00156FAC" w:rsidRDefault="00156FAC" w:rsidP="00760379">
      <w:pPr>
        <w:spacing w:after="0"/>
      </w:pPr>
      <w:r>
        <w:separator/>
      </w:r>
    </w:p>
  </w:endnote>
  <w:endnote w:type="continuationSeparator" w:id="0">
    <w:p w14:paraId="7F9253CF" w14:textId="77777777" w:rsidR="00156FAC" w:rsidRDefault="00156FAC" w:rsidP="007603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5431189"/>
      <w:docPartObj>
        <w:docPartGallery w:val="Page Numbers (Bottom of Page)"/>
        <w:docPartUnique/>
      </w:docPartObj>
    </w:sdtPr>
    <w:sdtEndPr>
      <w:rPr>
        <w:noProof/>
        <w:sz w:val="20"/>
        <w:szCs w:val="20"/>
      </w:rPr>
    </w:sdtEndPr>
    <w:sdtContent>
      <w:p w14:paraId="22021195" w14:textId="3DD917D5" w:rsidR="00156FAC" w:rsidRPr="00E73A65" w:rsidRDefault="00156FAC">
        <w:pPr>
          <w:pStyle w:val="Footer"/>
          <w:jc w:val="right"/>
          <w:rPr>
            <w:sz w:val="20"/>
            <w:szCs w:val="20"/>
          </w:rPr>
        </w:pPr>
        <w:r w:rsidRPr="00E73A65">
          <w:rPr>
            <w:sz w:val="20"/>
            <w:szCs w:val="20"/>
          </w:rPr>
          <w:fldChar w:fldCharType="begin"/>
        </w:r>
        <w:r w:rsidRPr="00E73A65">
          <w:rPr>
            <w:sz w:val="20"/>
            <w:szCs w:val="20"/>
          </w:rPr>
          <w:instrText xml:space="preserve"> PAGE   \* MERGEFORMAT </w:instrText>
        </w:r>
        <w:r w:rsidRPr="00E73A65">
          <w:rPr>
            <w:sz w:val="20"/>
            <w:szCs w:val="20"/>
          </w:rPr>
          <w:fldChar w:fldCharType="separate"/>
        </w:r>
        <w:r w:rsidR="009B20FC">
          <w:rPr>
            <w:noProof/>
            <w:sz w:val="20"/>
            <w:szCs w:val="20"/>
          </w:rPr>
          <w:t>5</w:t>
        </w:r>
        <w:r w:rsidRPr="00E73A65">
          <w:rPr>
            <w:noProof/>
            <w:sz w:val="20"/>
            <w:szCs w:val="20"/>
          </w:rPr>
          <w:fldChar w:fldCharType="end"/>
        </w:r>
        <w:r w:rsidRPr="00E73A65">
          <w:rPr>
            <w:noProof/>
            <w:sz w:val="20"/>
            <w:szCs w:val="20"/>
          </w:rPr>
          <w:t xml:space="preserve"> of </w:t>
        </w:r>
        <w:r>
          <w:rPr>
            <w:noProof/>
            <w:sz w:val="20"/>
            <w:szCs w:val="20"/>
          </w:rPr>
          <w:t>9</w:t>
        </w:r>
      </w:p>
    </w:sdtContent>
  </w:sdt>
  <w:p w14:paraId="44694504" w14:textId="77777777" w:rsidR="00156FAC" w:rsidRDefault="00156FA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69D206" w14:textId="77777777" w:rsidR="00156FAC" w:rsidRDefault="00156FAC" w:rsidP="00760379">
      <w:pPr>
        <w:spacing w:after="0"/>
      </w:pPr>
      <w:r>
        <w:separator/>
      </w:r>
    </w:p>
  </w:footnote>
  <w:footnote w:type="continuationSeparator" w:id="0">
    <w:p w14:paraId="285EEE00" w14:textId="77777777" w:rsidR="00156FAC" w:rsidRDefault="00156FAC" w:rsidP="00760379">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B0BDB"/>
    <w:multiLevelType w:val="hybridMultilevel"/>
    <w:tmpl w:val="22CEB88C"/>
    <w:lvl w:ilvl="0" w:tplc="785E2996">
      <w:start w:val="1"/>
      <w:numFmt w:val="bullet"/>
      <w:lvlText w:val=""/>
      <w:lvlJc w:val="left"/>
      <w:pPr>
        <w:tabs>
          <w:tab w:val="num" w:pos="720"/>
        </w:tabs>
        <w:ind w:left="720" w:hanging="360"/>
      </w:pPr>
      <w:rPr>
        <w:rFonts w:ascii="Wingdings" w:hAnsi="Wingdings" w:hint="default"/>
      </w:rPr>
    </w:lvl>
    <w:lvl w:ilvl="1" w:tplc="C4602B1C" w:tentative="1">
      <w:start w:val="1"/>
      <w:numFmt w:val="bullet"/>
      <w:lvlText w:val=""/>
      <w:lvlJc w:val="left"/>
      <w:pPr>
        <w:tabs>
          <w:tab w:val="num" w:pos="1440"/>
        </w:tabs>
        <w:ind w:left="1440" w:hanging="360"/>
      </w:pPr>
      <w:rPr>
        <w:rFonts w:ascii="Wingdings" w:hAnsi="Wingdings" w:hint="default"/>
      </w:rPr>
    </w:lvl>
    <w:lvl w:ilvl="2" w:tplc="1954F9B6" w:tentative="1">
      <w:start w:val="1"/>
      <w:numFmt w:val="bullet"/>
      <w:lvlText w:val=""/>
      <w:lvlJc w:val="left"/>
      <w:pPr>
        <w:tabs>
          <w:tab w:val="num" w:pos="2160"/>
        </w:tabs>
        <w:ind w:left="2160" w:hanging="360"/>
      </w:pPr>
      <w:rPr>
        <w:rFonts w:ascii="Wingdings" w:hAnsi="Wingdings" w:hint="default"/>
      </w:rPr>
    </w:lvl>
    <w:lvl w:ilvl="3" w:tplc="416EAC2E" w:tentative="1">
      <w:start w:val="1"/>
      <w:numFmt w:val="bullet"/>
      <w:lvlText w:val=""/>
      <w:lvlJc w:val="left"/>
      <w:pPr>
        <w:tabs>
          <w:tab w:val="num" w:pos="2880"/>
        </w:tabs>
        <w:ind w:left="2880" w:hanging="360"/>
      </w:pPr>
      <w:rPr>
        <w:rFonts w:ascii="Wingdings" w:hAnsi="Wingdings" w:hint="default"/>
      </w:rPr>
    </w:lvl>
    <w:lvl w:ilvl="4" w:tplc="F4BEBB94" w:tentative="1">
      <w:start w:val="1"/>
      <w:numFmt w:val="bullet"/>
      <w:lvlText w:val=""/>
      <w:lvlJc w:val="left"/>
      <w:pPr>
        <w:tabs>
          <w:tab w:val="num" w:pos="3600"/>
        </w:tabs>
        <w:ind w:left="3600" w:hanging="360"/>
      </w:pPr>
      <w:rPr>
        <w:rFonts w:ascii="Wingdings" w:hAnsi="Wingdings" w:hint="default"/>
      </w:rPr>
    </w:lvl>
    <w:lvl w:ilvl="5" w:tplc="B27AA760" w:tentative="1">
      <w:start w:val="1"/>
      <w:numFmt w:val="bullet"/>
      <w:lvlText w:val=""/>
      <w:lvlJc w:val="left"/>
      <w:pPr>
        <w:tabs>
          <w:tab w:val="num" w:pos="4320"/>
        </w:tabs>
        <w:ind w:left="4320" w:hanging="360"/>
      </w:pPr>
      <w:rPr>
        <w:rFonts w:ascii="Wingdings" w:hAnsi="Wingdings" w:hint="default"/>
      </w:rPr>
    </w:lvl>
    <w:lvl w:ilvl="6" w:tplc="A5E2474A" w:tentative="1">
      <w:start w:val="1"/>
      <w:numFmt w:val="bullet"/>
      <w:lvlText w:val=""/>
      <w:lvlJc w:val="left"/>
      <w:pPr>
        <w:tabs>
          <w:tab w:val="num" w:pos="5040"/>
        </w:tabs>
        <w:ind w:left="5040" w:hanging="360"/>
      </w:pPr>
      <w:rPr>
        <w:rFonts w:ascii="Wingdings" w:hAnsi="Wingdings" w:hint="default"/>
      </w:rPr>
    </w:lvl>
    <w:lvl w:ilvl="7" w:tplc="6116DDB2" w:tentative="1">
      <w:start w:val="1"/>
      <w:numFmt w:val="bullet"/>
      <w:lvlText w:val=""/>
      <w:lvlJc w:val="left"/>
      <w:pPr>
        <w:tabs>
          <w:tab w:val="num" w:pos="5760"/>
        </w:tabs>
        <w:ind w:left="5760" w:hanging="360"/>
      </w:pPr>
      <w:rPr>
        <w:rFonts w:ascii="Wingdings" w:hAnsi="Wingdings" w:hint="default"/>
      </w:rPr>
    </w:lvl>
    <w:lvl w:ilvl="8" w:tplc="A19C8F86" w:tentative="1">
      <w:start w:val="1"/>
      <w:numFmt w:val="bullet"/>
      <w:lvlText w:val=""/>
      <w:lvlJc w:val="left"/>
      <w:pPr>
        <w:tabs>
          <w:tab w:val="num" w:pos="6480"/>
        </w:tabs>
        <w:ind w:left="6480" w:hanging="360"/>
      </w:pPr>
      <w:rPr>
        <w:rFonts w:ascii="Wingdings" w:hAnsi="Wingdings" w:hint="default"/>
      </w:rPr>
    </w:lvl>
  </w:abstractNum>
  <w:abstractNum w:abstractNumId="1">
    <w:nsid w:val="2024393A"/>
    <w:multiLevelType w:val="hybridMultilevel"/>
    <w:tmpl w:val="27AEC114"/>
    <w:lvl w:ilvl="0" w:tplc="B56ED34A">
      <w:start w:val="1"/>
      <w:numFmt w:val="bullet"/>
      <w:lvlText w:val=""/>
      <w:lvlJc w:val="left"/>
      <w:pPr>
        <w:tabs>
          <w:tab w:val="num" w:pos="720"/>
        </w:tabs>
        <w:ind w:left="720" w:hanging="360"/>
      </w:pPr>
      <w:rPr>
        <w:rFonts w:ascii="Wingdings" w:hAnsi="Wingdings" w:hint="default"/>
      </w:rPr>
    </w:lvl>
    <w:lvl w:ilvl="1" w:tplc="3D0ECF3C" w:tentative="1">
      <w:start w:val="1"/>
      <w:numFmt w:val="bullet"/>
      <w:lvlText w:val=""/>
      <w:lvlJc w:val="left"/>
      <w:pPr>
        <w:tabs>
          <w:tab w:val="num" w:pos="1440"/>
        </w:tabs>
        <w:ind w:left="1440" w:hanging="360"/>
      </w:pPr>
      <w:rPr>
        <w:rFonts w:ascii="Wingdings" w:hAnsi="Wingdings" w:hint="default"/>
      </w:rPr>
    </w:lvl>
    <w:lvl w:ilvl="2" w:tplc="CA467C22" w:tentative="1">
      <w:start w:val="1"/>
      <w:numFmt w:val="bullet"/>
      <w:lvlText w:val=""/>
      <w:lvlJc w:val="left"/>
      <w:pPr>
        <w:tabs>
          <w:tab w:val="num" w:pos="2160"/>
        </w:tabs>
        <w:ind w:left="2160" w:hanging="360"/>
      </w:pPr>
      <w:rPr>
        <w:rFonts w:ascii="Wingdings" w:hAnsi="Wingdings" w:hint="default"/>
      </w:rPr>
    </w:lvl>
    <w:lvl w:ilvl="3" w:tplc="BBD21DF6" w:tentative="1">
      <w:start w:val="1"/>
      <w:numFmt w:val="bullet"/>
      <w:lvlText w:val=""/>
      <w:lvlJc w:val="left"/>
      <w:pPr>
        <w:tabs>
          <w:tab w:val="num" w:pos="2880"/>
        </w:tabs>
        <w:ind w:left="2880" w:hanging="360"/>
      </w:pPr>
      <w:rPr>
        <w:rFonts w:ascii="Wingdings" w:hAnsi="Wingdings" w:hint="default"/>
      </w:rPr>
    </w:lvl>
    <w:lvl w:ilvl="4" w:tplc="EA66001C" w:tentative="1">
      <w:start w:val="1"/>
      <w:numFmt w:val="bullet"/>
      <w:lvlText w:val=""/>
      <w:lvlJc w:val="left"/>
      <w:pPr>
        <w:tabs>
          <w:tab w:val="num" w:pos="3600"/>
        </w:tabs>
        <w:ind w:left="3600" w:hanging="360"/>
      </w:pPr>
      <w:rPr>
        <w:rFonts w:ascii="Wingdings" w:hAnsi="Wingdings" w:hint="default"/>
      </w:rPr>
    </w:lvl>
    <w:lvl w:ilvl="5" w:tplc="6E4E4070" w:tentative="1">
      <w:start w:val="1"/>
      <w:numFmt w:val="bullet"/>
      <w:lvlText w:val=""/>
      <w:lvlJc w:val="left"/>
      <w:pPr>
        <w:tabs>
          <w:tab w:val="num" w:pos="4320"/>
        </w:tabs>
        <w:ind w:left="4320" w:hanging="360"/>
      </w:pPr>
      <w:rPr>
        <w:rFonts w:ascii="Wingdings" w:hAnsi="Wingdings" w:hint="default"/>
      </w:rPr>
    </w:lvl>
    <w:lvl w:ilvl="6" w:tplc="7042253C" w:tentative="1">
      <w:start w:val="1"/>
      <w:numFmt w:val="bullet"/>
      <w:lvlText w:val=""/>
      <w:lvlJc w:val="left"/>
      <w:pPr>
        <w:tabs>
          <w:tab w:val="num" w:pos="5040"/>
        </w:tabs>
        <w:ind w:left="5040" w:hanging="360"/>
      </w:pPr>
      <w:rPr>
        <w:rFonts w:ascii="Wingdings" w:hAnsi="Wingdings" w:hint="default"/>
      </w:rPr>
    </w:lvl>
    <w:lvl w:ilvl="7" w:tplc="BCAA71FC" w:tentative="1">
      <w:start w:val="1"/>
      <w:numFmt w:val="bullet"/>
      <w:lvlText w:val=""/>
      <w:lvlJc w:val="left"/>
      <w:pPr>
        <w:tabs>
          <w:tab w:val="num" w:pos="5760"/>
        </w:tabs>
        <w:ind w:left="5760" w:hanging="360"/>
      </w:pPr>
      <w:rPr>
        <w:rFonts w:ascii="Wingdings" w:hAnsi="Wingdings" w:hint="default"/>
      </w:rPr>
    </w:lvl>
    <w:lvl w:ilvl="8" w:tplc="51A81CF2" w:tentative="1">
      <w:start w:val="1"/>
      <w:numFmt w:val="bullet"/>
      <w:lvlText w:val=""/>
      <w:lvlJc w:val="left"/>
      <w:pPr>
        <w:tabs>
          <w:tab w:val="num" w:pos="6480"/>
        </w:tabs>
        <w:ind w:left="6480" w:hanging="360"/>
      </w:pPr>
      <w:rPr>
        <w:rFonts w:ascii="Wingdings" w:hAnsi="Wingdings" w:hint="default"/>
      </w:rPr>
    </w:lvl>
  </w:abstractNum>
  <w:abstractNum w:abstractNumId="2">
    <w:nsid w:val="60DE6023"/>
    <w:multiLevelType w:val="hybridMultilevel"/>
    <w:tmpl w:val="E3F27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68A5F68"/>
    <w:multiLevelType w:val="hybridMultilevel"/>
    <w:tmpl w:val="DF6A7E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GB" w:vendorID="64" w:dllVersion="131078" w:nlCheck="1" w:checkStyle="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C2F"/>
    <w:rsid w:val="000339B4"/>
    <w:rsid w:val="00044483"/>
    <w:rsid w:val="00063959"/>
    <w:rsid w:val="000816D2"/>
    <w:rsid w:val="000B42F6"/>
    <w:rsid w:val="000E33C2"/>
    <w:rsid w:val="001118CE"/>
    <w:rsid w:val="00156FAC"/>
    <w:rsid w:val="00180921"/>
    <w:rsid w:val="001A5765"/>
    <w:rsid w:val="0023073C"/>
    <w:rsid w:val="00277F5A"/>
    <w:rsid w:val="002B5F80"/>
    <w:rsid w:val="0032077D"/>
    <w:rsid w:val="00413A75"/>
    <w:rsid w:val="0048056B"/>
    <w:rsid w:val="004A4CE1"/>
    <w:rsid w:val="004D10CE"/>
    <w:rsid w:val="00520BC6"/>
    <w:rsid w:val="005A0611"/>
    <w:rsid w:val="005C567E"/>
    <w:rsid w:val="005C6C2F"/>
    <w:rsid w:val="005E50D0"/>
    <w:rsid w:val="00605CEF"/>
    <w:rsid w:val="0063066E"/>
    <w:rsid w:val="0063369C"/>
    <w:rsid w:val="00652272"/>
    <w:rsid w:val="006C1E80"/>
    <w:rsid w:val="00704B91"/>
    <w:rsid w:val="00717AEA"/>
    <w:rsid w:val="00760379"/>
    <w:rsid w:val="00792DD9"/>
    <w:rsid w:val="00795894"/>
    <w:rsid w:val="007A795A"/>
    <w:rsid w:val="007C7D72"/>
    <w:rsid w:val="007E4F9F"/>
    <w:rsid w:val="00825A31"/>
    <w:rsid w:val="0083396D"/>
    <w:rsid w:val="00845D79"/>
    <w:rsid w:val="008568A8"/>
    <w:rsid w:val="00861246"/>
    <w:rsid w:val="008D6BC7"/>
    <w:rsid w:val="00922D60"/>
    <w:rsid w:val="00990AAB"/>
    <w:rsid w:val="009B20FC"/>
    <w:rsid w:val="009E0270"/>
    <w:rsid w:val="009F42A2"/>
    <w:rsid w:val="00A04A6D"/>
    <w:rsid w:val="00A13EE1"/>
    <w:rsid w:val="00A449B0"/>
    <w:rsid w:val="00AA7E9E"/>
    <w:rsid w:val="00AF087D"/>
    <w:rsid w:val="00B04683"/>
    <w:rsid w:val="00B51EF3"/>
    <w:rsid w:val="00BC70BC"/>
    <w:rsid w:val="00C370F1"/>
    <w:rsid w:val="00CB3476"/>
    <w:rsid w:val="00D93195"/>
    <w:rsid w:val="00E60255"/>
    <w:rsid w:val="00E73A65"/>
    <w:rsid w:val="00EC3A5C"/>
    <w:rsid w:val="00F212EA"/>
    <w:rsid w:val="00FA6F88"/>
    <w:rsid w:val="00FA72E5"/>
    <w:rsid w:val="00FE6F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2DAD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195"/>
    <w:pPr>
      <w:spacing w:line="240" w:lineRule="auto"/>
    </w:pPr>
    <w:rPr>
      <w:sz w:val="24"/>
      <w:szCs w:val="24"/>
    </w:rPr>
  </w:style>
  <w:style w:type="paragraph" w:styleId="Heading1">
    <w:name w:val="heading 1"/>
    <w:basedOn w:val="Normal"/>
    <w:next w:val="Normal"/>
    <w:link w:val="Heading1Char"/>
    <w:uiPriority w:val="9"/>
    <w:qFormat/>
    <w:rsid w:val="009E02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3195"/>
    <w:pPr>
      <w:ind w:left="720"/>
      <w:contextualSpacing/>
    </w:pPr>
  </w:style>
  <w:style w:type="character" w:customStyle="1" w:styleId="Heading1Char">
    <w:name w:val="Heading 1 Char"/>
    <w:basedOn w:val="DefaultParagraphFont"/>
    <w:link w:val="Heading1"/>
    <w:uiPriority w:val="9"/>
    <w:rsid w:val="009E0270"/>
    <w:rPr>
      <w:rFonts w:asciiTheme="majorHAnsi" w:eastAsiaTheme="majorEastAsia" w:hAnsiTheme="majorHAnsi" w:cstheme="majorBidi"/>
      <w:b/>
      <w:bCs/>
      <w:color w:val="365F91" w:themeColor="accent1" w:themeShade="BF"/>
      <w:sz w:val="28"/>
      <w:szCs w:val="28"/>
    </w:rPr>
  </w:style>
  <w:style w:type="paragraph" w:styleId="PlainText">
    <w:name w:val="Plain Text"/>
    <w:basedOn w:val="Normal"/>
    <w:link w:val="PlainTextChar"/>
    <w:uiPriority w:val="99"/>
    <w:unhideWhenUsed/>
    <w:rsid w:val="009E0270"/>
    <w:pPr>
      <w:spacing w:after="0"/>
    </w:pPr>
    <w:rPr>
      <w:rFonts w:ascii="Calibri" w:hAnsi="Calibri"/>
      <w:sz w:val="22"/>
      <w:szCs w:val="21"/>
    </w:rPr>
  </w:style>
  <w:style w:type="character" w:customStyle="1" w:styleId="PlainTextChar">
    <w:name w:val="Plain Text Char"/>
    <w:basedOn w:val="DefaultParagraphFont"/>
    <w:link w:val="PlainText"/>
    <w:uiPriority w:val="99"/>
    <w:rsid w:val="009E0270"/>
    <w:rPr>
      <w:rFonts w:ascii="Calibri" w:hAnsi="Calibri"/>
      <w:szCs w:val="21"/>
    </w:rPr>
  </w:style>
  <w:style w:type="paragraph" w:styleId="Header">
    <w:name w:val="header"/>
    <w:basedOn w:val="Normal"/>
    <w:link w:val="HeaderChar"/>
    <w:uiPriority w:val="99"/>
    <w:unhideWhenUsed/>
    <w:rsid w:val="00760379"/>
    <w:pPr>
      <w:tabs>
        <w:tab w:val="center" w:pos="4513"/>
        <w:tab w:val="right" w:pos="9026"/>
      </w:tabs>
      <w:spacing w:after="0"/>
    </w:pPr>
  </w:style>
  <w:style w:type="character" w:customStyle="1" w:styleId="HeaderChar">
    <w:name w:val="Header Char"/>
    <w:basedOn w:val="DefaultParagraphFont"/>
    <w:link w:val="Header"/>
    <w:uiPriority w:val="99"/>
    <w:rsid w:val="00760379"/>
    <w:rPr>
      <w:sz w:val="24"/>
      <w:szCs w:val="24"/>
    </w:rPr>
  </w:style>
  <w:style w:type="paragraph" w:styleId="Footer">
    <w:name w:val="footer"/>
    <w:basedOn w:val="Normal"/>
    <w:link w:val="FooterChar"/>
    <w:uiPriority w:val="99"/>
    <w:unhideWhenUsed/>
    <w:rsid w:val="00760379"/>
    <w:pPr>
      <w:tabs>
        <w:tab w:val="center" w:pos="4513"/>
        <w:tab w:val="right" w:pos="9026"/>
      </w:tabs>
      <w:spacing w:after="0"/>
    </w:pPr>
  </w:style>
  <w:style w:type="character" w:customStyle="1" w:styleId="FooterChar">
    <w:name w:val="Footer Char"/>
    <w:basedOn w:val="DefaultParagraphFont"/>
    <w:link w:val="Footer"/>
    <w:uiPriority w:val="99"/>
    <w:rsid w:val="00760379"/>
    <w:rPr>
      <w:sz w:val="24"/>
      <w:szCs w:val="24"/>
    </w:rPr>
  </w:style>
  <w:style w:type="paragraph" w:styleId="BalloonText">
    <w:name w:val="Balloon Text"/>
    <w:basedOn w:val="Normal"/>
    <w:link w:val="BalloonTextChar"/>
    <w:uiPriority w:val="99"/>
    <w:semiHidden/>
    <w:unhideWhenUsed/>
    <w:rsid w:val="0076037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379"/>
    <w:rPr>
      <w:rFonts w:ascii="Tahoma" w:hAnsi="Tahoma" w:cs="Tahoma"/>
      <w:sz w:val="16"/>
      <w:szCs w:val="16"/>
    </w:rPr>
  </w:style>
  <w:style w:type="character" w:styleId="PageNumber">
    <w:name w:val="page number"/>
    <w:basedOn w:val="DefaultParagraphFont"/>
    <w:uiPriority w:val="99"/>
    <w:semiHidden/>
    <w:unhideWhenUsed/>
    <w:rsid w:val="00E73A6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195"/>
    <w:pPr>
      <w:spacing w:line="240" w:lineRule="auto"/>
    </w:pPr>
    <w:rPr>
      <w:sz w:val="24"/>
      <w:szCs w:val="24"/>
    </w:rPr>
  </w:style>
  <w:style w:type="paragraph" w:styleId="Heading1">
    <w:name w:val="heading 1"/>
    <w:basedOn w:val="Normal"/>
    <w:next w:val="Normal"/>
    <w:link w:val="Heading1Char"/>
    <w:uiPriority w:val="9"/>
    <w:qFormat/>
    <w:rsid w:val="009E02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3195"/>
    <w:pPr>
      <w:ind w:left="720"/>
      <w:contextualSpacing/>
    </w:pPr>
  </w:style>
  <w:style w:type="character" w:customStyle="1" w:styleId="Heading1Char">
    <w:name w:val="Heading 1 Char"/>
    <w:basedOn w:val="DefaultParagraphFont"/>
    <w:link w:val="Heading1"/>
    <w:uiPriority w:val="9"/>
    <w:rsid w:val="009E0270"/>
    <w:rPr>
      <w:rFonts w:asciiTheme="majorHAnsi" w:eastAsiaTheme="majorEastAsia" w:hAnsiTheme="majorHAnsi" w:cstheme="majorBidi"/>
      <w:b/>
      <w:bCs/>
      <w:color w:val="365F91" w:themeColor="accent1" w:themeShade="BF"/>
      <w:sz w:val="28"/>
      <w:szCs w:val="28"/>
    </w:rPr>
  </w:style>
  <w:style w:type="paragraph" w:styleId="PlainText">
    <w:name w:val="Plain Text"/>
    <w:basedOn w:val="Normal"/>
    <w:link w:val="PlainTextChar"/>
    <w:uiPriority w:val="99"/>
    <w:unhideWhenUsed/>
    <w:rsid w:val="009E0270"/>
    <w:pPr>
      <w:spacing w:after="0"/>
    </w:pPr>
    <w:rPr>
      <w:rFonts w:ascii="Calibri" w:hAnsi="Calibri"/>
      <w:sz w:val="22"/>
      <w:szCs w:val="21"/>
    </w:rPr>
  </w:style>
  <w:style w:type="character" w:customStyle="1" w:styleId="PlainTextChar">
    <w:name w:val="Plain Text Char"/>
    <w:basedOn w:val="DefaultParagraphFont"/>
    <w:link w:val="PlainText"/>
    <w:uiPriority w:val="99"/>
    <w:rsid w:val="009E0270"/>
    <w:rPr>
      <w:rFonts w:ascii="Calibri" w:hAnsi="Calibri"/>
      <w:szCs w:val="21"/>
    </w:rPr>
  </w:style>
  <w:style w:type="paragraph" w:styleId="Header">
    <w:name w:val="header"/>
    <w:basedOn w:val="Normal"/>
    <w:link w:val="HeaderChar"/>
    <w:uiPriority w:val="99"/>
    <w:unhideWhenUsed/>
    <w:rsid w:val="00760379"/>
    <w:pPr>
      <w:tabs>
        <w:tab w:val="center" w:pos="4513"/>
        <w:tab w:val="right" w:pos="9026"/>
      </w:tabs>
      <w:spacing w:after="0"/>
    </w:pPr>
  </w:style>
  <w:style w:type="character" w:customStyle="1" w:styleId="HeaderChar">
    <w:name w:val="Header Char"/>
    <w:basedOn w:val="DefaultParagraphFont"/>
    <w:link w:val="Header"/>
    <w:uiPriority w:val="99"/>
    <w:rsid w:val="00760379"/>
    <w:rPr>
      <w:sz w:val="24"/>
      <w:szCs w:val="24"/>
    </w:rPr>
  </w:style>
  <w:style w:type="paragraph" w:styleId="Footer">
    <w:name w:val="footer"/>
    <w:basedOn w:val="Normal"/>
    <w:link w:val="FooterChar"/>
    <w:uiPriority w:val="99"/>
    <w:unhideWhenUsed/>
    <w:rsid w:val="00760379"/>
    <w:pPr>
      <w:tabs>
        <w:tab w:val="center" w:pos="4513"/>
        <w:tab w:val="right" w:pos="9026"/>
      </w:tabs>
      <w:spacing w:after="0"/>
    </w:pPr>
  </w:style>
  <w:style w:type="character" w:customStyle="1" w:styleId="FooterChar">
    <w:name w:val="Footer Char"/>
    <w:basedOn w:val="DefaultParagraphFont"/>
    <w:link w:val="Footer"/>
    <w:uiPriority w:val="99"/>
    <w:rsid w:val="00760379"/>
    <w:rPr>
      <w:sz w:val="24"/>
      <w:szCs w:val="24"/>
    </w:rPr>
  </w:style>
  <w:style w:type="paragraph" w:styleId="BalloonText">
    <w:name w:val="Balloon Text"/>
    <w:basedOn w:val="Normal"/>
    <w:link w:val="BalloonTextChar"/>
    <w:uiPriority w:val="99"/>
    <w:semiHidden/>
    <w:unhideWhenUsed/>
    <w:rsid w:val="0076037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379"/>
    <w:rPr>
      <w:rFonts w:ascii="Tahoma" w:hAnsi="Tahoma" w:cs="Tahoma"/>
      <w:sz w:val="16"/>
      <w:szCs w:val="16"/>
    </w:rPr>
  </w:style>
  <w:style w:type="character" w:styleId="PageNumber">
    <w:name w:val="page number"/>
    <w:basedOn w:val="DefaultParagraphFont"/>
    <w:uiPriority w:val="99"/>
    <w:semiHidden/>
    <w:unhideWhenUsed/>
    <w:rsid w:val="00E73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801622">
      <w:bodyDiv w:val="1"/>
      <w:marLeft w:val="0"/>
      <w:marRight w:val="0"/>
      <w:marTop w:val="0"/>
      <w:marBottom w:val="0"/>
      <w:divBdr>
        <w:top w:val="none" w:sz="0" w:space="0" w:color="auto"/>
        <w:left w:val="none" w:sz="0" w:space="0" w:color="auto"/>
        <w:bottom w:val="none" w:sz="0" w:space="0" w:color="auto"/>
        <w:right w:val="none" w:sz="0" w:space="0" w:color="auto"/>
      </w:divBdr>
    </w:div>
    <w:div w:id="521362809">
      <w:bodyDiv w:val="1"/>
      <w:marLeft w:val="0"/>
      <w:marRight w:val="0"/>
      <w:marTop w:val="0"/>
      <w:marBottom w:val="0"/>
      <w:divBdr>
        <w:top w:val="none" w:sz="0" w:space="0" w:color="auto"/>
        <w:left w:val="none" w:sz="0" w:space="0" w:color="auto"/>
        <w:bottom w:val="none" w:sz="0" w:space="0" w:color="auto"/>
        <w:right w:val="none" w:sz="0" w:space="0" w:color="auto"/>
      </w:divBdr>
    </w:div>
    <w:div w:id="1046418053">
      <w:bodyDiv w:val="1"/>
      <w:marLeft w:val="0"/>
      <w:marRight w:val="0"/>
      <w:marTop w:val="0"/>
      <w:marBottom w:val="0"/>
      <w:divBdr>
        <w:top w:val="none" w:sz="0" w:space="0" w:color="auto"/>
        <w:left w:val="none" w:sz="0" w:space="0" w:color="auto"/>
        <w:bottom w:val="none" w:sz="0" w:space="0" w:color="auto"/>
        <w:right w:val="none" w:sz="0" w:space="0" w:color="auto"/>
      </w:divBdr>
    </w:div>
    <w:div w:id="1337997004">
      <w:bodyDiv w:val="1"/>
      <w:marLeft w:val="0"/>
      <w:marRight w:val="0"/>
      <w:marTop w:val="0"/>
      <w:marBottom w:val="0"/>
      <w:divBdr>
        <w:top w:val="none" w:sz="0" w:space="0" w:color="auto"/>
        <w:left w:val="none" w:sz="0" w:space="0" w:color="auto"/>
        <w:bottom w:val="none" w:sz="0" w:space="0" w:color="auto"/>
        <w:right w:val="none" w:sz="0" w:space="0" w:color="auto"/>
      </w:divBdr>
    </w:div>
    <w:div w:id="1511604089">
      <w:bodyDiv w:val="1"/>
      <w:marLeft w:val="0"/>
      <w:marRight w:val="0"/>
      <w:marTop w:val="0"/>
      <w:marBottom w:val="0"/>
      <w:divBdr>
        <w:top w:val="none" w:sz="0" w:space="0" w:color="auto"/>
        <w:left w:val="none" w:sz="0" w:space="0" w:color="auto"/>
        <w:bottom w:val="none" w:sz="0" w:space="0" w:color="auto"/>
        <w:right w:val="none" w:sz="0" w:space="0" w:color="auto"/>
      </w:divBdr>
    </w:div>
    <w:div w:id="1947418196">
      <w:bodyDiv w:val="1"/>
      <w:marLeft w:val="0"/>
      <w:marRight w:val="0"/>
      <w:marTop w:val="0"/>
      <w:marBottom w:val="0"/>
      <w:divBdr>
        <w:top w:val="none" w:sz="0" w:space="0" w:color="auto"/>
        <w:left w:val="none" w:sz="0" w:space="0" w:color="auto"/>
        <w:bottom w:val="none" w:sz="0" w:space="0" w:color="auto"/>
        <w:right w:val="none" w:sz="0" w:space="0" w:color="auto"/>
      </w:divBdr>
      <w:divsChild>
        <w:div w:id="647706822">
          <w:marLeft w:val="547"/>
          <w:marRight w:val="0"/>
          <w:marTop w:val="0"/>
          <w:marBottom w:val="0"/>
          <w:divBdr>
            <w:top w:val="none" w:sz="0" w:space="0" w:color="auto"/>
            <w:left w:val="none" w:sz="0" w:space="0" w:color="auto"/>
            <w:bottom w:val="none" w:sz="0" w:space="0" w:color="auto"/>
            <w:right w:val="none" w:sz="0" w:space="0" w:color="auto"/>
          </w:divBdr>
        </w:div>
        <w:div w:id="879898139">
          <w:marLeft w:val="547"/>
          <w:marRight w:val="0"/>
          <w:marTop w:val="0"/>
          <w:marBottom w:val="0"/>
          <w:divBdr>
            <w:top w:val="none" w:sz="0" w:space="0" w:color="auto"/>
            <w:left w:val="none" w:sz="0" w:space="0" w:color="auto"/>
            <w:bottom w:val="none" w:sz="0" w:space="0" w:color="auto"/>
            <w:right w:val="none" w:sz="0" w:space="0" w:color="auto"/>
          </w:divBdr>
        </w:div>
        <w:div w:id="1117602997">
          <w:marLeft w:val="547"/>
          <w:marRight w:val="0"/>
          <w:marTop w:val="0"/>
          <w:marBottom w:val="0"/>
          <w:divBdr>
            <w:top w:val="none" w:sz="0" w:space="0" w:color="auto"/>
            <w:left w:val="none" w:sz="0" w:space="0" w:color="auto"/>
            <w:bottom w:val="none" w:sz="0" w:space="0" w:color="auto"/>
            <w:right w:val="none" w:sz="0" w:space="0" w:color="auto"/>
          </w:divBdr>
        </w:div>
      </w:divsChild>
    </w:div>
    <w:div w:id="214264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9</Pages>
  <Words>2521</Words>
  <Characters>14373</Characters>
  <Application>Microsoft Macintosh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Oxford University Department Of Physics</Company>
  <LinksUpToDate>false</LinksUpToDate>
  <CharactersWithSpaces>16861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Geoff Hall</cp:lastModifiedBy>
  <cp:revision>26</cp:revision>
  <dcterms:created xsi:type="dcterms:W3CDTF">2012-03-31T02:57:00Z</dcterms:created>
  <dcterms:modified xsi:type="dcterms:W3CDTF">2012-04-06T14:14:00Z</dcterms:modified>
</cp:coreProperties>
</file>